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F0149" w:rsidRPr="00F16DDB" w:rsidRDefault="00FF0149" w:rsidP="00FF0149">
      <w:pPr>
        <w:jc w:val="left"/>
        <w:rPr>
          <w:b/>
          <w:sz w:val="40"/>
          <w:szCs w:val="40"/>
        </w:rPr>
      </w:pPr>
      <w:bookmarkStart w:id="0" w:name="_GoBack"/>
      <w:bookmarkEnd w:id="0"/>
      <w:r w:rsidRPr="00F16DDB">
        <w:rPr>
          <w:b/>
          <w:sz w:val="40"/>
          <w:szCs w:val="40"/>
        </w:rPr>
        <w:t>________________________________________________</w:t>
      </w:r>
    </w:p>
    <w:p w:rsidR="00FF0149" w:rsidRPr="00F16DDB" w:rsidRDefault="00FF0149" w:rsidP="00FF0149">
      <w:pPr>
        <w:autoSpaceDE w:val="0"/>
        <w:autoSpaceDN w:val="0"/>
        <w:adjustRightInd w:val="0"/>
        <w:jc w:val="left"/>
        <w:rPr>
          <w:color w:val="000000"/>
          <w:szCs w:val="22"/>
        </w:rPr>
      </w:pP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rsidTr="003164D5">
        <w:tc>
          <w:tcPr>
            <w:tcW w:w="10170" w:type="dxa"/>
            <w:tcBorders>
              <w:top w:val="nil"/>
              <w:left w:val="nil"/>
              <w:bottom w:val="nil"/>
              <w:right w:val="nil"/>
            </w:tcBorders>
            <w:hideMark/>
          </w:tcPr>
          <w:p w:rsidR="00FF0149" w:rsidRPr="005959AD" w:rsidRDefault="00FF0149" w:rsidP="005959AD">
            <w:pPr>
              <w:jc w:val="center"/>
              <w:rPr>
                <w:b/>
                <w:sz w:val="36"/>
                <w:szCs w:val="36"/>
              </w:rPr>
            </w:pPr>
            <w:r w:rsidRPr="005959AD">
              <w:rPr>
                <w:b/>
                <w:sz w:val="36"/>
                <w:szCs w:val="36"/>
              </w:rPr>
              <w:t>Template and instructions for the preparation of a PEFA assessment concept note or terms of reference</w:t>
            </w:r>
          </w:p>
          <w:p w:rsidR="00FF0149" w:rsidRPr="002D2A4F" w:rsidRDefault="00FF0149" w:rsidP="003164D5">
            <w:pPr>
              <w:keepNext/>
              <w:keepLines/>
              <w:jc w:val="center"/>
              <w:outlineLvl w:val="0"/>
              <w:rPr>
                <w:rFonts w:ascii="Calibri" w:eastAsia="MS Gothic" w:hAnsi="Calibri"/>
                <w:b/>
                <w:sz w:val="36"/>
                <w:szCs w:val="32"/>
              </w:rPr>
            </w:pPr>
          </w:p>
        </w:tc>
      </w:tr>
      <w:tr w:rsidR="00FF0149" w:rsidRPr="002D2A4F" w:rsidTr="003164D5">
        <w:tc>
          <w:tcPr>
            <w:tcW w:w="10170" w:type="dxa"/>
            <w:tcBorders>
              <w:top w:val="nil"/>
              <w:left w:val="nil"/>
              <w:bottom w:val="single" w:sz="4" w:space="0" w:color="auto"/>
              <w:right w:val="nil"/>
            </w:tcBorders>
          </w:tcPr>
          <w:p w:rsidR="00FF0149" w:rsidRPr="00740CED" w:rsidRDefault="00FF0149" w:rsidP="003164D5">
            <w:pPr>
              <w:jc w:val="left"/>
              <w:rPr>
                <w:rFonts w:ascii="Calibri" w:hAnsi="Calibri"/>
                <w:i/>
                <w:color w:val="C00000"/>
                <w:szCs w:val="22"/>
              </w:rPr>
            </w:pPr>
            <w:r w:rsidRPr="00740CED">
              <w:rPr>
                <w:rFonts w:ascii="Calibri" w:hAnsi="Calibri"/>
                <w:i/>
                <w:color w:val="C00000"/>
                <w:szCs w:val="22"/>
              </w:rPr>
              <w:t>This generic template for preparing a concept note or terms of reference for a public expenditure and financial accountability (PEFA) assessment should be used as a guide only. The content of the concept note or terms of reference should be adapted as necessary to the needs of government or assessment sponsors. Guidance on content is provided in red. Do not include the red text in the final terms of reference.</w:t>
            </w:r>
            <w:r>
              <w:rPr>
                <w:rFonts w:ascii="Calibri" w:hAnsi="Calibri"/>
                <w:i/>
                <w:color w:val="C00000"/>
                <w:szCs w:val="22"/>
              </w:rPr>
              <w:t xml:space="preserve"> </w:t>
            </w:r>
          </w:p>
          <w:p w:rsidR="00FF0149" w:rsidRPr="002D2A4F" w:rsidRDefault="00FF0149" w:rsidP="003164D5">
            <w:pPr>
              <w:jc w:val="left"/>
              <w:rPr>
                <w:rFonts w:ascii="Calibri" w:hAnsi="Calibri"/>
                <w:szCs w:val="22"/>
              </w:rPr>
            </w:pPr>
          </w:p>
        </w:tc>
      </w:tr>
      <w:tr w:rsidR="00FF0149" w:rsidRPr="002D2A4F" w:rsidTr="003164D5">
        <w:tc>
          <w:tcPr>
            <w:tcW w:w="10170" w:type="dxa"/>
            <w:tcBorders>
              <w:top w:val="single" w:sz="4" w:space="0" w:color="auto"/>
              <w:left w:val="nil"/>
              <w:bottom w:val="nil"/>
              <w:right w:val="nil"/>
            </w:tcBorders>
          </w:tcPr>
          <w:p w:rsidR="00FF0149" w:rsidRPr="005959AD" w:rsidRDefault="00FF0149" w:rsidP="005959AD">
            <w:pPr>
              <w:jc w:val="center"/>
              <w:rPr>
                <w:b/>
                <w:sz w:val="36"/>
                <w:szCs w:val="36"/>
              </w:rPr>
            </w:pPr>
            <w:r w:rsidRPr="005959AD">
              <w:rPr>
                <w:b/>
                <w:sz w:val="36"/>
                <w:szCs w:val="36"/>
              </w:rPr>
              <w:t>PEFA assessment concept note</w:t>
            </w:r>
          </w:p>
          <w:p w:rsidR="00FF0149" w:rsidRPr="002D2A4F" w:rsidRDefault="00FF0149" w:rsidP="003164D5">
            <w:pPr>
              <w:jc w:val="left"/>
              <w:rPr>
                <w:sz w:val="32"/>
              </w:rPr>
            </w:pPr>
          </w:p>
        </w:tc>
      </w:tr>
      <w:tr w:rsidR="00FF0149" w:rsidRPr="002D2A4F" w:rsidTr="003164D5">
        <w:tc>
          <w:tcPr>
            <w:tcW w:w="10170" w:type="dxa"/>
            <w:tcBorders>
              <w:top w:val="nil"/>
              <w:left w:val="nil"/>
              <w:bottom w:val="nil"/>
              <w:right w:val="nil"/>
            </w:tcBorders>
            <w:hideMark/>
          </w:tcPr>
          <w:p w:rsidR="00FF0149" w:rsidRPr="005959AD" w:rsidRDefault="00FF0149" w:rsidP="00EF1A5A">
            <w:pPr>
              <w:pStyle w:val="ListParagraph"/>
              <w:numPr>
                <w:ilvl w:val="0"/>
                <w:numId w:val="35"/>
              </w:numPr>
              <w:ind w:left="335"/>
              <w:rPr>
                <w:b/>
                <w:color w:val="244061" w:themeColor="accent1" w:themeShade="80"/>
                <w:sz w:val="28"/>
                <w:szCs w:val="28"/>
              </w:rPr>
            </w:pPr>
            <w:r w:rsidRPr="005959AD">
              <w:rPr>
                <w:b/>
                <w:color w:val="244061" w:themeColor="accent1" w:themeShade="80"/>
                <w:sz w:val="28"/>
                <w:szCs w:val="28"/>
              </w:rPr>
              <w:t>Background and context</w:t>
            </w:r>
          </w:p>
        </w:tc>
      </w:tr>
      <w:tr w:rsidR="00FF0149" w:rsidRPr="002D2A4F" w:rsidTr="003164D5">
        <w:tc>
          <w:tcPr>
            <w:tcW w:w="10170" w:type="dxa"/>
            <w:tcBorders>
              <w:top w:val="nil"/>
              <w:left w:val="nil"/>
              <w:bottom w:val="nil"/>
              <w:right w:val="nil"/>
            </w:tcBorders>
          </w:tcPr>
          <w:p w:rsidR="00FF0149" w:rsidRPr="00740CED" w:rsidRDefault="00FF0149" w:rsidP="003164D5">
            <w:pPr>
              <w:jc w:val="left"/>
              <w:rPr>
                <w:rFonts w:ascii="Calibri" w:hAnsi="Calibri"/>
                <w:i/>
                <w:color w:val="C00000"/>
                <w:szCs w:val="22"/>
              </w:rPr>
            </w:pPr>
            <w:r w:rsidRPr="00740CED">
              <w:rPr>
                <w:rFonts w:ascii="Calibri" w:hAnsi="Calibri"/>
                <w:i/>
                <w:color w:val="C00000"/>
                <w:szCs w:val="22"/>
              </w:rPr>
              <w:t xml:space="preserve">Under the subheadings below, describe the economic, fiscal, and political context for the PEFA assessment. Include information about population size, average income per capita, and other key characteristics of the nation or subnational entity. </w:t>
            </w:r>
            <w:r w:rsidRPr="00740CED">
              <w:rPr>
                <w:rFonts w:ascii="Calibri" w:hAnsi="Calibri"/>
                <w:i/>
                <w:color w:val="C00000"/>
                <w:szCs w:val="22"/>
              </w:rPr>
              <w:tab/>
            </w:r>
          </w:p>
          <w:p w:rsidR="00FF0149" w:rsidRPr="00740CED" w:rsidRDefault="00FF0149" w:rsidP="003164D5">
            <w:pPr>
              <w:jc w:val="left"/>
              <w:rPr>
                <w:rFonts w:ascii="Calibri" w:hAnsi="Calibri"/>
                <w:color w:val="4BACC6" w:themeColor="accent5"/>
                <w:szCs w:val="22"/>
              </w:rPr>
            </w:pPr>
            <w:r w:rsidRPr="00740CED">
              <w:rPr>
                <w:rFonts w:ascii="Calibri" w:hAnsi="Calibri"/>
                <w:color w:val="4BACC6" w:themeColor="accent5"/>
                <w:szCs w:val="22"/>
              </w:rPr>
              <w:t>(Recommended length: no more than 500 words, plus table 1.)</w:t>
            </w:r>
          </w:p>
          <w:p w:rsidR="00FF0149" w:rsidRPr="002D2A4F" w:rsidRDefault="00FF0149" w:rsidP="003164D5">
            <w:pPr>
              <w:jc w:val="left"/>
              <w:rPr>
                <w:rFonts w:ascii="Calibri" w:hAnsi="Calibri"/>
                <w:i/>
                <w:color w:val="C00000"/>
                <w:szCs w:val="22"/>
              </w:rPr>
            </w:pPr>
          </w:p>
        </w:tc>
      </w:tr>
      <w:tr w:rsidR="00FF0149" w:rsidRPr="002D2A4F" w:rsidTr="003164D5">
        <w:tc>
          <w:tcPr>
            <w:tcW w:w="10170" w:type="dxa"/>
            <w:tcBorders>
              <w:top w:val="nil"/>
              <w:left w:val="nil"/>
              <w:bottom w:val="single" w:sz="4" w:space="0" w:color="auto"/>
              <w:right w:val="nil"/>
            </w:tcBorders>
            <w:hideMark/>
          </w:tcPr>
          <w:p w:rsidR="00FF0149" w:rsidRPr="00A7656B" w:rsidRDefault="00A7656B" w:rsidP="00A7656B">
            <w:pPr>
              <w:ind w:left="335"/>
              <w:rPr>
                <w:b/>
                <w:color w:val="365F91"/>
                <w:sz w:val="24"/>
              </w:rPr>
            </w:pPr>
            <w:r w:rsidRPr="00A7656B">
              <w:rPr>
                <w:b/>
                <w:color w:val="244061" w:themeColor="accent1" w:themeShade="80"/>
                <w:sz w:val="24"/>
              </w:rPr>
              <w:t xml:space="preserve">1.1 </w:t>
            </w:r>
            <w:r w:rsidR="00FF0149" w:rsidRPr="00A7656B">
              <w:rPr>
                <w:b/>
                <w:color w:val="244061" w:themeColor="accent1" w:themeShade="80"/>
                <w:sz w:val="24"/>
              </w:rPr>
              <w:t>Economic performance</w:t>
            </w:r>
          </w:p>
        </w:tc>
      </w:tr>
      <w:tr w:rsidR="00FF0149" w:rsidRPr="002D2A4F" w:rsidTr="003164D5">
        <w:tc>
          <w:tcPr>
            <w:tcW w:w="10170" w:type="dxa"/>
            <w:tcBorders>
              <w:top w:val="single" w:sz="4" w:space="0" w:color="auto"/>
              <w:left w:val="single" w:sz="4" w:space="0" w:color="auto"/>
              <w:bottom w:val="single" w:sz="4" w:space="0" w:color="auto"/>
              <w:right w:val="single" w:sz="4" w:space="0" w:color="auto"/>
            </w:tcBorders>
          </w:tcPr>
          <w:p w:rsidR="00FF0149" w:rsidRPr="00113BC9" w:rsidRDefault="00FF0149" w:rsidP="003164D5">
            <w:pPr>
              <w:jc w:val="left"/>
              <w:rPr>
                <w:rFonts w:ascii="Calibri" w:hAnsi="Calibri"/>
                <w:i/>
                <w:color w:val="C00000"/>
                <w:szCs w:val="22"/>
              </w:rPr>
            </w:pPr>
            <w:r w:rsidRPr="00113BC9">
              <w:rPr>
                <w:rFonts w:ascii="Calibri" w:hAnsi="Calibri"/>
                <w:i/>
                <w:color w:val="C00000"/>
                <w:szCs w:val="22"/>
              </w:rPr>
              <w:t>Briefly describe recent economic performance. Highlight the most important economic sectors and any recent events that have impacted on their performance (e.g., natural disasters, external economic shocks).</w:t>
            </w:r>
          </w:p>
          <w:p w:rsidR="00FF0149" w:rsidRPr="008A3057" w:rsidRDefault="00FF0149" w:rsidP="003164D5">
            <w:pPr>
              <w:jc w:val="left"/>
              <w:rPr>
                <w:rFonts w:ascii="Calibri" w:hAnsi="Calibri"/>
                <w:color w:val="C00000"/>
                <w:szCs w:val="22"/>
              </w:rPr>
            </w:pPr>
          </w:p>
          <w:p w:rsidR="00FF0149" w:rsidRPr="004E2F01"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Pr="002D2A4F" w:rsidRDefault="00FF0149" w:rsidP="003164D5">
            <w:pPr>
              <w:jc w:val="left"/>
              <w:rPr>
                <w:rFonts w:ascii="Calibri" w:hAnsi="Calibri"/>
                <w:b/>
                <w:bCs/>
                <w:color w:val="C00000"/>
                <w:sz w:val="20"/>
                <w:szCs w:val="20"/>
                <w:lang w:val="en-GB" w:eastAsia="nl-NL"/>
              </w:rPr>
            </w:pPr>
          </w:p>
        </w:tc>
      </w:tr>
    </w:tbl>
    <w:p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6912"/>
        <w:gridCol w:w="851"/>
        <w:gridCol w:w="2407"/>
      </w:tblGrid>
      <w:tr w:rsidR="00FF0149" w:rsidRPr="002D2A4F" w:rsidTr="003164D5">
        <w:tc>
          <w:tcPr>
            <w:tcW w:w="10170" w:type="dxa"/>
            <w:gridSpan w:val="3"/>
            <w:tcBorders>
              <w:top w:val="nil"/>
              <w:left w:val="nil"/>
              <w:bottom w:val="single" w:sz="4" w:space="0" w:color="auto"/>
              <w:right w:val="nil"/>
            </w:tcBorders>
          </w:tcPr>
          <w:p w:rsidR="00FF0149" w:rsidRPr="002D2A4F" w:rsidRDefault="00FF0149" w:rsidP="003164D5">
            <w:pPr>
              <w:keepNext/>
              <w:keepLines/>
              <w:ind w:left="792"/>
              <w:jc w:val="left"/>
              <w:outlineLvl w:val="1"/>
              <w:rPr>
                <w:rFonts w:ascii="Calibri" w:eastAsia="MS Gothic" w:hAnsi="Calibri"/>
                <w:b/>
                <w:bCs/>
                <w:color w:val="365F91"/>
                <w:sz w:val="26"/>
                <w:szCs w:val="26"/>
              </w:rPr>
            </w:pPr>
          </w:p>
          <w:p w:rsidR="00FF0149" w:rsidRPr="002D2A4F" w:rsidRDefault="00A7656B" w:rsidP="00A7656B">
            <w:pPr>
              <w:ind w:left="245"/>
              <w:rPr>
                <w:color w:val="365F91"/>
              </w:rPr>
            </w:pPr>
            <w:r>
              <w:rPr>
                <w:b/>
                <w:color w:val="244061" w:themeColor="accent1" w:themeShade="80"/>
                <w:sz w:val="24"/>
              </w:rPr>
              <w:t xml:space="preserve">1.2 </w:t>
            </w:r>
            <w:r w:rsidR="00FF0149" w:rsidRPr="00A7656B">
              <w:rPr>
                <w:b/>
                <w:color w:val="244061" w:themeColor="accent1" w:themeShade="80"/>
                <w:sz w:val="24"/>
              </w:rPr>
              <w:t>Fiscal management</w:t>
            </w:r>
          </w:p>
        </w:tc>
      </w:tr>
      <w:tr w:rsidR="00FF0149" w:rsidRPr="002D2A4F" w:rsidTr="003164D5">
        <w:tc>
          <w:tcPr>
            <w:tcW w:w="10170" w:type="dxa"/>
            <w:gridSpan w:val="3"/>
            <w:tcBorders>
              <w:top w:val="single" w:sz="4" w:space="0" w:color="auto"/>
              <w:left w:val="single" w:sz="4" w:space="0" w:color="auto"/>
              <w:bottom w:val="nil"/>
              <w:right w:val="single" w:sz="4" w:space="0" w:color="auto"/>
            </w:tcBorders>
          </w:tcPr>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Briefly describe recent fiscal performance—including fiscal deficit and debt—and identify recent fiscal initiatives. </w:t>
            </w: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Complete table 1 for country fiscal data in the last two completed fiscal years (FY T refers to the last full fiscal year and FY T-1 refers to the year before FY T).</w:t>
            </w: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Pr="002D2A4F" w:rsidRDefault="00FF0149" w:rsidP="003164D5">
            <w:pPr>
              <w:jc w:val="left"/>
            </w:pPr>
          </w:p>
        </w:tc>
      </w:tr>
      <w:tr w:rsidR="00FF0149" w:rsidRPr="002D2A4F" w:rsidTr="003164D5">
        <w:tc>
          <w:tcPr>
            <w:tcW w:w="10170" w:type="dxa"/>
            <w:gridSpan w:val="3"/>
            <w:tcBorders>
              <w:top w:val="nil"/>
              <w:left w:val="single" w:sz="4" w:space="0" w:color="auto"/>
              <w:bottom w:val="single" w:sz="4" w:space="0" w:color="auto"/>
              <w:right w:val="single" w:sz="4" w:space="0" w:color="auto"/>
            </w:tcBorders>
            <w:shd w:val="clear" w:color="auto" w:fill="FFFFFF"/>
            <w:hideMark/>
          </w:tcPr>
          <w:p w:rsidR="00FF0149" w:rsidRDefault="00FF0149" w:rsidP="003164D5">
            <w:pPr>
              <w:jc w:val="left"/>
              <w:rPr>
                <w:b/>
                <w:bCs/>
                <w:sz w:val="20"/>
                <w:szCs w:val="20"/>
              </w:rPr>
            </w:pPr>
            <w:r w:rsidRPr="00236F36">
              <w:rPr>
                <w:b/>
                <w:bCs/>
                <w:sz w:val="20"/>
                <w:szCs w:val="20"/>
              </w:rPr>
              <w:t xml:space="preserve"> </w:t>
            </w: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Default="00FF0149" w:rsidP="003164D5">
            <w:pPr>
              <w:jc w:val="left"/>
              <w:rPr>
                <w:b/>
                <w:bCs/>
                <w:sz w:val="20"/>
                <w:szCs w:val="20"/>
              </w:rPr>
            </w:pPr>
          </w:p>
          <w:p w:rsidR="00FF0149" w:rsidRPr="0014430F" w:rsidRDefault="00FF0149" w:rsidP="003164D5">
            <w:pPr>
              <w:jc w:val="left"/>
              <w:rPr>
                <w:b/>
                <w:bCs/>
                <w:szCs w:val="22"/>
              </w:rPr>
            </w:pPr>
          </w:p>
        </w:tc>
      </w:tr>
      <w:tr w:rsidR="00FF0149" w:rsidRPr="002D2A4F" w:rsidTr="003164D5">
        <w:tc>
          <w:tcPr>
            <w:tcW w:w="10170" w:type="dxa"/>
            <w:gridSpan w:val="3"/>
            <w:tcBorders>
              <w:top w:val="single" w:sz="4" w:space="0" w:color="auto"/>
              <w:left w:val="nil"/>
              <w:bottom w:val="nil"/>
              <w:right w:val="nil"/>
            </w:tcBorders>
            <w:shd w:val="clear" w:color="auto" w:fill="FFFFFF"/>
          </w:tcPr>
          <w:p w:rsidR="00FF0149" w:rsidRPr="0014430F" w:rsidRDefault="00FF0149" w:rsidP="003164D5">
            <w:pPr>
              <w:jc w:val="left"/>
              <w:rPr>
                <w:b/>
                <w:bCs/>
                <w:szCs w:val="22"/>
              </w:rPr>
            </w:pPr>
          </w:p>
        </w:tc>
      </w:tr>
      <w:tr w:rsidR="00FF0149" w:rsidRPr="002D2A4F" w:rsidTr="003164D5">
        <w:tc>
          <w:tcPr>
            <w:tcW w:w="10170" w:type="dxa"/>
            <w:gridSpan w:val="3"/>
            <w:tcBorders>
              <w:top w:val="nil"/>
              <w:left w:val="nil"/>
              <w:bottom w:val="single" w:sz="4" w:space="0" w:color="auto"/>
              <w:right w:val="nil"/>
            </w:tcBorders>
            <w:shd w:val="clear" w:color="auto" w:fill="FFFFFF"/>
          </w:tcPr>
          <w:p w:rsidR="00FF0149" w:rsidRPr="00236F36" w:rsidRDefault="00FF0149" w:rsidP="003164D5">
            <w:pPr>
              <w:jc w:val="left"/>
              <w:rPr>
                <w:b/>
                <w:bCs/>
                <w:sz w:val="20"/>
                <w:szCs w:val="20"/>
              </w:rPr>
            </w:pPr>
            <w:r w:rsidRPr="0014430F">
              <w:rPr>
                <w:b/>
                <w:bCs/>
                <w:szCs w:val="22"/>
              </w:rPr>
              <w:t xml:space="preserve">Table 1. </w:t>
            </w:r>
            <w:r w:rsidRPr="0014430F">
              <w:rPr>
                <w:b/>
                <w:bCs/>
                <w:color w:val="C00000"/>
                <w:szCs w:val="22"/>
              </w:rPr>
              <w:t xml:space="preserve">&lt;Country&gt; </w:t>
            </w:r>
            <w:r w:rsidRPr="0014430F">
              <w:rPr>
                <w:b/>
                <w:bCs/>
                <w:szCs w:val="22"/>
              </w:rPr>
              <w:t xml:space="preserve">aggregate fiscal data, </w:t>
            </w:r>
            <w:r w:rsidRPr="0014430F">
              <w:rPr>
                <w:b/>
                <w:bCs/>
                <w:color w:val="C00000"/>
                <w:szCs w:val="22"/>
              </w:rPr>
              <w:t xml:space="preserve">&lt;T-1&gt; </w:t>
            </w:r>
            <w:r w:rsidRPr="0014430F">
              <w:rPr>
                <w:b/>
                <w:bCs/>
                <w:szCs w:val="22"/>
              </w:rPr>
              <w:t xml:space="preserve">to </w:t>
            </w:r>
            <w:r w:rsidRPr="0014430F">
              <w:rPr>
                <w:b/>
                <w:bCs/>
                <w:color w:val="C00000"/>
                <w:szCs w:val="22"/>
              </w:rPr>
              <w:t>&lt;T&gt;</w:t>
            </w: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shd w:val="clear" w:color="auto" w:fill="DBE5F1"/>
            <w:hideMark/>
          </w:tcPr>
          <w:p w:rsidR="00FF0149" w:rsidRPr="00236F36" w:rsidRDefault="00FF0149" w:rsidP="003164D5">
            <w:pPr>
              <w:jc w:val="left"/>
              <w:rPr>
                <w:b/>
                <w:bCs/>
                <w:sz w:val="20"/>
                <w:szCs w:val="20"/>
              </w:rPr>
            </w:pPr>
            <w:r w:rsidRPr="00236F36">
              <w:rPr>
                <w:b/>
                <w:bCs/>
                <w:sz w:val="18"/>
                <w:szCs w:val="18"/>
              </w:rPr>
              <w:t>Element</w:t>
            </w:r>
          </w:p>
        </w:tc>
        <w:tc>
          <w:tcPr>
            <w:tcW w:w="851" w:type="dxa"/>
            <w:tcBorders>
              <w:top w:val="single" w:sz="4" w:space="0" w:color="auto"/>
              <w:left w:val="single" w:sz="4" w:space="0" w:color="auto"/>
              <w:bottom w:val="single" w:sz="4" w:space="0" w:color="auto"/>
              <w:right w:val="single" w:sz="4" w:space="0" w:color="auto"/>
            </w:tcBorders>
            <w:shd w:val="clear" w:color="auto" w:fill="DBE5F1"/>
            <w:hideMark/>
          </w:tcPr>
          <w:p w:rsidR="00FF0149" w:rsidRPr="00236F36" w:rsidRDefault="00FF0149" w:rsidP="003164D5">
            <w:pPr>
              <w:jc w:val="left"/>
              <w:rPr>
                <w:b/>
                <w:bCs/>
                <w:color w:val="C00000"/>
                <w:sz w:val="18"/>
                <w:szCs w:val="18"/>
              </w:rPr>
            </w:pPr>
            <w:r w:rsidRPr="00236F36">
              <w:rPr>
                <w:b/>
                <w:bCs/>
                <w:color w:val="C00000"/>
                <w:sz w:val="18"/>
                <w:szCs w:val="18"/>
              </w:rPr>
              <w:t>FY T-1</w:t>
            </w: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FF0149" w:rsidRPr="00236F36" w:rsidRDefault="00FF0149" w:rsidP="003164D5">
            <w:pPr>
              <w:jc w:val="left"/>
              <w:rPr>
                <w:b/>
                <w:bCs/>
                <w:color w:val="C00000"/>
                <w:sz w:val="18"/>
                <w:szCs w:val="18"/>
              </w:rPr>
            </w:pPr>
            <w:r w:rsidRPr="00236F36">
              <w:rPr>
                <w:b/>
                <w:bCs/>
                <w:color w:val="C00000"/>
                <w:sz w:val="18"/>
                <w:szCs w:val="18"/>
              </w:rPr>
              <w:t>FY T</w:t>
            </w: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keepNext/>
              <w:outlineLvl w:val="6"/>
              <w:rPr>
                <w:sz w:val="18"/>
                <w:szCs w:val="18"/>
              </w:rPr>
            </w:pPr>
            <w:r w:rsidRPr="00236F36">
              <w:rPr>
                <w:sz w:val="18"/>
                <w:szCs w:val="18"/>
              </w:rPr>
              <w:t>Total revenue</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keepNext/>
              <w:outlineLvl w:val="6"/>
              <w:rPr>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keepNext/>
              <w:outlineLvl w:val="6"/>
              <w:rPr>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i/>
                <w:iCs/>
                <w:sz w:val="18"/>
                <w:szCs w:val="18"/>
              </w:rPr>
            </w:pPr>
            <w:r w:rsidRPr="00236F36">
              <w:rPr>
                <w:i/>
                <w:iCs/>
                <w:sz w:val="18"/>
                <w:szCs w:val="18"/>
              </w:rPr>
              <w:t>– Own revenue</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i/>
                <w:iCs/>
                <w:sz w:val="18"/>
                <w:szCs w:val="18"/>
              </w:rPr>
            </w:pPr>
            <w:r w:rsidRPr="00236F36">
              <w:rPr>
                <w:i/>
                <w:iCs/>
                <w:sz w:val="18"/>
                <w:szCs w:val="18"/>
              </w:rPr>
              <w:t>– Grants</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keepNext/>
              <w:outlineLvl w:val="6"/>
              <w:rPr>
                <w:sz w:val="18"/>
                <w:szCs w:val="18"/>
              </w:rPr>
            </w:pPr>
            <w:r w:rsidRPr="00236F36">
              <w:rPr>
                <w:sz w:val="18"/>
                <w:szCs w:val="18"/>
              </w:rPr>
              <w:t>Total expenditure</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keepNext/>
              <w:outlineLvl w:val="6"/>
              <w:rPr>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keepNext/>
              <w:outlineLvl w:val="6"/>
              <w:rPr>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i/>
                <w:iCs/>
                <w:sz w:val="18"/>
                <w:szCs w:val="18"/>
              </w:rPr>
            </w:pPr>
            <w:r w:rsidRPr="00236F36">
              <w:rPr>
                <w:i/>
                <w:iCs/>
                <w:sz w:val="18"/>
                <w:szCs w:val="18"/>
              </w:rPr>
              <w:t>– Noninterest expenditure</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i/>
                <w:iCs/>
                <w:sz w:val="18"/>
                <w:szCs w:val="18"/>
              </w:rPr>
            </w:pPr>
            <w:r w:rsidRPr="00236F36">
              <w:rPr>
                <w:i/>
                <w:iCs/>
                <w:sz w:val="18"/>
                <w:szCs w:val="18"/>
              </w:rPr>
              <w:t xml:space="preserve">– Interest expenditure </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sz w:val="18"/>
                <w:szCs w:val="18"/>
              </w:rPr>
            </w:pPr>
            <w:r w:rsidRPr="00236F36">
              <w:rPr>
                <w:sz w:val="18"/>
                <w:szCs w:val="18"/>
              </w:rPr>
              <w:t>Aggregate deficit (incl. grants)</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sz w:val="18"/>
                <w:szCs w:val="18"/>
              </w:rPr>
            </w:pPr>
            <w:r w:rsidRPr="00236F36">
              <w:rPr>
                <w:sz w:val="18"/>
                <w:szCs w:val="18"/>
              </w:rPr>
              <w:t>Primary deficit</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sz w:val="18"/>
                <w:szCs w:val="18"/>
              </w:rPr>
            </w:pPr>
            <w:r w:rsidRPr="00236F36">
              <w:rPr>
                <w:sz w:val="18"/>
                <w:szCs w:val="18"/>
              </w:rPr>
              <w:t>Net financing</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i/>
                <w:iCs/>
                <w:sz w:val="18"/>
                <w:szCs w:val="18"/>
              </w:rPr>
            </w:pPr>
            <w:r w:rsidRPr="00236F36">
              <w:rPr>
                <w:i/>
                <w:iCs/>
                <w:sz w:val="18"/>
                <w:szCs w:val="18"/>
              </w:rPr>
              <w:t>– External</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i/>
                <w:iCs/>
                <w:sz w:val="18"/>
                <w:szCs w:val="18"/>
              </w:rPr>
            </w:pPr>
            <w:r w:rsidRPr="00236F36">
              <w:rPr>
                <w:i/>
                <w:iCs/>
                <w:sz w:val="18"/>
                <w:szCs w:val="18"/>
              </w:rPr>
              <w:t>– Domestic</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
                <w:iCs/>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iCs/>
                <w:sz w:val="18"/>
                <w:szCs w:val="18"/>
              </w:rPr>
            </w:pPr>
            <w:r w:rsidRPr="00236F36">
              <w:rPr>
                <w:iCs/>
                <w:sz w:val="18"/>
                <w:szCs w:val="18"/>
              </w:rPr>
              <w:t>Public debt</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Cs/>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Cs/>
                <w:sz w:val="18"/>
                <w:szCs w:val="18"/>
              </w:rPr>
            </w:pPr>
          </w:p>
        </w:tc>
      </w:tr>
      <w:tr w:rsidR="00FF0149" w:rsidRPr="002D2A4F" w:rsidTr="003164D5">
        <w:tc>
          <w:tcPr>
            <w:tcW w:w="6912" w:type="dxa"/>
            <w:tcBorders>
              <w:top w:val="single" w:sz="4" w:space="0" w:color="auto"/>
              <w:left w:val="single" w:sz="4" w:space="0" w:color="auto"/>
              <w:bottom w:val="single" w:sz="4" w:space="0" w:color="auto"/>
              <w:right w:val="single" w:sz="4" w:space="0" w:color="auto"/>
            </w:tcBorders>
            <w:hideMark/>
          </w:tcPr>
          <w:p w:rsidR="00FF0149" w:rsidRPr="00236F36" w:rsidRDefault="00FF0149" w:rsidP="003164D5">
            <w:pPr>
              <w:jc w:val="left"/>
              <w:rPr>
                <w:iCs/>
                <w:sz w:val="18"/>
                <w:szCs w:val="18"/>
              </w:rPr>
            </w:pPr>
            <w:r w:rsidRPr="00236F36">
              <w:rPr>
                <w:iCs/>
                <w:sz w:val="18"/>
                <w:szCs w:val="18"/>
              </w:rPr>
              <w:t>Ratio of public debt to GDP</w:t>
            </w:r>
          </w:p>
        </w:tc>
        <w:tc>
          <w:tcPr>
            <w:tcW w:w="851"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Cs/>
                <w:sz w:val="18"/>
                <w:szCs w:val="18"/>
              </w:rPr>
            </w:pPr>
          </w:p>
        </w:tc>
        <w:tc>
          <w:tcPr>
            <w:tcW w:w="2407" w:type="dxa"/>
            <w:tcBorders>
              <w:top w:val="single" w:sz="4" w:space="0" w:color="auto"/>
              <w:left w:val="single" w:sz="4" w:space="0" w:color="auto"/>
              <w:bottom w:val="single" w:sz="4" w:space="0" w:color="auto"/>
              <w:right w:val="single" w:sz="4" w:space="0" w:color="auto"/>
            </w:tcBorders>
          </w:tcPr>
          <w:p w:rsidR="00FF0149" w:rsidRPr="00236F36" w:rsidRDefault="00FF0149" w:rsidP="003164D5">
            <w:pPr>
              <w:jc w:val="left"/>
              <w:rPr>
                <w:iCs/>
                <w:sz w:val="18"/>
                <w:szCs w:val="18"/>
              </w:rPr>
            </w:pPr>
          </w:p>
        </w:tc>
      </w:tr>
      <w:tr w:rsidR="00FF0149" w:rsidRPr="002D2A4F" w:rsidTr="003164D5">
        <w:tc>
          <w:tcPr>
            <w:tcW w:w="10170" w:type="dxa"/>
            <w:gridSpan w:val="3"/>
            <w:tcBorders>
              <w:top w:val="single" w:sz="4" w:space="0" w:color="auto"/>
              <w:left w:val="nil"/>
              <w:bottom w:val="nil"/>
              <w:right w:val="nil"/>
            </w:tcBorders>
          </w:tcPr>
          <w:p w:rsidR="00FF0149" w:rsidRPr="002D2A4F" w:rsidRDefault="00FF0149" w:rsidP="003164D5">
            <w:pPr>
              <w:jc w:val="left"/>
              <w:rPr>
                <w:iCs/>
                <w:sz w:val="18"/>
                <w:szCs w:val="18"/>
              </w:rPr>
            </w:pPr>
          </w:p>
        </w:tc>
      </w:tr>
    </w:tbl>
    <w:p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rsidTr="003164D5">
        <w:tc>
          <w:tcPr>
            <w:tcW w:w="10170" w:type="dxa"/>
            <w:tcBorders>
              <w:top w:val="nil"/>
              <w:left w:val="nil"/>
              <w:bottom w:val="single" w:sz="4" w:space="0" w:color="auto"/>
              <w:right w:val="nil"/>
            </w:tcBorders>
            <w:hideMark/>
          </w:tcPr>
          <w:p w:rsidR="00FF0149" w:rsidRPr="00A7656B" w:rsidRDefault="00A7656B" w:rsidP="00A7656B">
            <w:pPr>
              <w:ind w:left="335"/>
              <w:rPr>
                <w:rFonts w:ascii="Calibri" w:eastAsia="MS Gothic" w:hAnsi="Calibri"/>
                <w:bCs/>
                <w:iCs/>
                <w:color w:val="365F91"/>
                <w:sz w:val="18"/>
                <w:szCs w:val="18"/>
              </w:rPr>
            </w:pPr>
            <w:r>
              <w:rPr>
                <w:b/>
                <w:color w:val="244061" w:themeColor="accent1" w:themeShade="80"/>
                <w:sz w:val="24"/>
              </w:rPr>
              <w:lastRenderedPageBreak/>
              <w:t xml:space="preserve">1.3 </w:t>
            </w:r>
            <w:r w:rsidR="00FF0149" w:rsidRPr="00A7656B">
              <w:rPr>
                <w:b/>
                <w:color w:val="244061" w:themeColor="accent1" w:themeShade="80"/>
                <w:sz w:val="24"/>
              </w:rPr>
              <w:t>Governance and institutions</w:t>
            </w:r>
          </w:p>
        </w:tc>
      </w:tr>
      <w:tr w:rsidR="00FF0149" w:rsidRPr="002D2A4F" w:rsidTr="003164D5">
        <w:tc>
          <w:tcPr>
            <w:tcW w:w="10170" w:type="dxa"/>
            <w:tcBorders>
              <w:top w:val="single" w:sz="4" w:space="0" w:color="auto"/>
              <w:left w:val="single" w:sz="4" w:space="0" w:color="auto"/>
              <w:bottom w:val="single" w:sz="4" w:space="0" w:color="auto"/>
              <w:right w:val="single" w:sz="4" w:space="0" w:color="auto"/>
            </w:tcBorders>
          </w:tcPr>
          <w:p w:rsidR="00FF0149" w:rsidRPr="00113BC9" w:rsidRDefault="00FF0149" w:rsidP="003164D5">
            <w:pPr>
              <w:jc w:val="left"/>
              <w:rPr>
                <w:rFonts w:ascii="Calibri" w:hAnsi="Calibri"/>
                <w:b/>
                <w:i/>
                <w:color w:val="C00000"/>
                <w:szCs w:val="22"/>
              </w:rPr>
            </w:pPr>
            <w:r w:rsidRPr="00113BC9">
              <w:rPr>
                <w:rFonts w:ascii="Calibri" w:hAnsi="Calibri"/>
                <w:i/>
                <w:color w:val="C00000"/>
                <w:szCs w:val="22"/>
              </w:rPr>
              <w:t xml:space="preserve">Briefly describe the main characteristics of the political system, including key institutions and how they are structured: the existence of a constitution and when it was established; the overall political structure (confederation, federation, unitary state, etc.); features of the legislature, and how legislators gain seats (e.g., by direct/indirect election, by executive appointment); the existence and powers of state audits; the basis of government and its main powers and authority; and the relationship of the executive to the judiciary. </w:t>
            </w:r>
          </w:p>
          <w:p w:rsidR="00FF0149" w:rsidRPr="0014430F"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Pr="002D2A4F" w:rsidRDefault="00FF0149" w:rsidP="003164D5">
            <w:pPr>
              <w:jc w:val="left"/>
              <w:rPr>
                <w:iCs/>
                <w:sz w:val="18"/>
                <w:szCs w:val="18"/>
              </w:rPr>
            </w:pPr>
          </w:p>
        </w:tc>
      </w:tr>
    </w:tbl>
    <w:p w:rsidR="00FF0149" w:rsidRDefault="00FF0149" w:rsidP="00FF0149"/>
    <w:p w:rsidR="00FF0149" w:rsidRDefault="00FF0149" w:rsidP="00FF0149">
      <w:r>
        <w:br w:type="page"/>
      </w:r>
    </w:p>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rsidTr="003164D5">
        <w:tc>
          <w:tcPr>
            <w:tcW w:w="10170" w:type="dxa"/>
            <w:tcBorders>
              <w:top w:val="nil"/>
              <w:left w:val="nil"/>
              <w:bottom w:val="nil"/>
              <w:right w:val="nil"/>
            </w:tcBorders>
          </w:tcPr>
          <w:p w:rsidR="00FF0149" w:rsidRPr="002D2A4F" w:rsidRDefault="00FF0149" w:rsidP="003164D5">
            <w:pPr>
              <w:keepNext/>
              <w:keepLines/>
              <w:jc w:val="left"/>
              <w:outlineLvl w:val="1"/>
              <w:rPr>
                <w:rFonts w:ascii="Calibri" w:eastAsia="MS Gothic" w:hAnsi="Calibri"/>
                <w:b/>
                <w:bCs/>
                <w:iCs/>
                <w:color w:val="365F91"/>
                <w:sz w:val="18"/>
                <w:szCs w:val="18"/>
              </w:rPr>
            </w:pPr>
          </w:p>
          <w:p w:rsidR="00FF0149" w:rsidRPr="002D2A4F" w:rsidRDefault="00FF0149" w:rsidP="00EF1A5A">
            <w:pPr>
              <w:pStyle w:val="ListParagraph"/>
              <w:numPr>
                <w:ilvl w:val="0"/>
                <w:numId w:val="35"/>
              </w:numPr>
              <w:ind w:left="335"/>
              <w:rPr>
                <w:rFonts w:ascii="Calibri" w:eastAsia="MS Gothic" w:hAnsi="Calibri"/>
                <w:b/>
                <w:bCs/>
                <w:iCs/>
                <w:color w:val="365F91"/>
                <w:sz w:val="18"/>
                <w:szCs w:val="18"/>
              </w:rPr>
            </w:pPr>
            <w:r w:rsidRPr="005959AD">
              <w:rPr>
                <w:b/>
                <w:color w:val="244061" w:themeColor="accent1" w:themeShade="80"/>
                <w:sz w:val="28"/>
                <w:szCs w:val="28"/>
              </w:rPr>
              <w:t>History of public financial management (PFM) reform</w:t>
            </w:r>
          </w:p>
        </w:tc>
      </w:tr>
      <w:tr w:rsidR="00FF0149" w:rsidRPr="002D2A4F" w:rsidTr="003164D5">
        <w:tc>
          <w:tcPr>
            <w:tcW w:w="10170" w:type="dxa"/>
            <w:tcBorders>
              <w:top w:val="nil"/>
              <w:left w:val="nil"/>
              <w:bottom w:val="nil"/>
              <w:right w:val="nil"/>
            </w:tcBorders>
            <w:hideMark/>
          </w:tcPr>
          <w:p w:rsidR="00FF0149" w:rsidRPr="00740CED" w:rsidRDefault="00FF0149" w:rsidP="003164D5">
            <w:pPr>
              <w:jc w:val="left"/>
              <w:rPr>
                <w:rFonts w:ascii="Calibri" w:hAnsi="Calibri"/>
                <w:i/>
                <w:color w:val="C00000"/>
                <w:szCs w:val="22"/>
              </w:rPr>
            </w:pPr>
            <w:r w:rsidRPr="00740CED">
              <w:rPr>
                <w:rFonts w:ascii="Calibri" w:hAnsi="Calibri"/>
                <w:i/>
                <w:color w:val="C00000"/>
                <w:szCs w:val="22"/>
              </w:rPr>
              <w:t xml:space="preserve">Under the subheadings below, outline the recent history of PFM reform, including all previous PEFA assessments, other PFM diagnostics, PFM reform initiatives and what they have achieved to date, international cooperation activities, and PFM reform monitoring and evaluation arrangements. </w:t>
            </w:r>
            <w:r w:rsidRPr="00740CED">
              <w:rPr>
                <w:rFonts w:ascii="Calibri" w:hAnsi="Calibri"/>
                <w:i/>
                <w:color w:val="C00000"/>
                <w:szCs w:val="22"/>
              </w:rPr>
              <w:tab/>
            </w:r>
          </w:p>
          <w:p w:rsidR="00FF0149" w:rsidRPr="0014430F" w:rsidRDefault="00FF0149" w:rsidP="003164D5">
            <w:pPr>
              <w:jc w:val="left"/>
              <w:rPr>
                <w:rFonts w:ascii="Calibri" w:hAnsi="Calibri"/>
                <w:color w:val="C00000"/>
                <w:szCs w:val="22"/>
              </w:rPr>
            </w:pPr>
            <w:r w:rsidRPr="00740CED">
              <w:rPr>
                <w:rFonts w:ascii="Calibri" w:hAnsi="Calibri"/>
                <w:color w:val="4BACC6" w:themeColor="accent5"/>
                <w:szCs w:val="22"/>
              </w:rPr>
              <w:t>(Recommended length: no more than 500 words.)</w:t>
            </w:r>
          </w:p>
        </w:tc>
      </w:tr>
      <w:tr w:rsidR="00FF0149" w:rsidRPr="002D2A4F" w:rsidTr="003164D5">
        <w:tc>
          <w:tcPr>
            <w:tcW w:w="10170" w:type="dxa"/>
            <w:tcBorders>
              <w:top w:val="nil"/>
              <w:left w:val="nil"/>
              <w:bottom w:val="nil"/>
              <w:right w:val="nil"/>
            </w:tcBorders>
          </w:tcPr>
          <w:p w:rsidR="00FF0149" w:rsidRPr="002D2A4F" w:rsidRDefault="00FF0149" w:rsidP="003164D5">
            <w:pPr>
              <w:jc w:val="left"/>
              <w:rPr>
                <w:iCs/>
                <w:sz w:val="18"/>
                <w:szCs w:val="18"/>
              </w:rPr>
            </w:pPr>
          </w:p>
        </w:tc>
      </w:tr>
      <w:tr w:rsidR="00FF0149" w:rsidRPr="002D2A4F" w:rsidTr="003164D5">
        <w:tc>
          <w:tcPr>
            <w:tcW w:w="10170" w:type="dxa"/>
            <w:tcBorders>
              <w:top w:val="nil"/>
              <w:left w:val="nil"/>
              <w:bottom w:val="single" w:sz="4" w:space="0" w:color="auto"/>
              <w:right w:val="nil"/>
            </w:tcBorders>
            <w:hideMark/>
          </w:tcPr>
          <w:p w:rsidR="00FF0149" w:rsidRPr="00A7656B" w:rsidRDefault="00A7656B" w:rsidP="00A7656B">
            <w:pPr>
              <w:ind w:left="335"/>
              <w:rPr>
                <w:rFonts w:ascii="Calibri" w:eastAsia="MS Gothic" w:hAnsi="Calibri"/>
                <w:bCs/>
                <w:color w:val="365F91"/>
                <w:sz w:val="26"/>
                <w:szCs w:val="26"/>
              </w:rPr>
            </w:pPr>
            <w:r>
              <w:rPr>
                <w:b/>
                <w:color w:val="244061" w:themeColor="accent1" w:themeShade="80"/>
                <w:sz w:val="24"/>
              </w:rPr>
              <w:t xml:space="preserve">2.1 </w:t>
            </w:r>
            <w:r w:rsidR="00FF0149" w:rsidRPr="00A7656B">
              <w:rPr>
                <w:b/>
                <w:color w:val="244061" w:themeColor="accent1" w:themeShade="80"/>
                <w:sz w:val="24"/>
              </w:rPr>
              <w:t>Previous PEFA assessment(s) and other PFM diagnostics</w:t>
            </w:r>
          </w:p>
        </w:tc>
      </w:tr>
      <w:tr w:rsidR="00FF0149" w:rsidRPr="002D2A4F" w:rsidTr="003164D5">
        <w:tc>
          <w:tcPr>
            <w:tcW w:w="10170" w:type="dxa"/>
            <w:tcBorders>
              <w:top w:val="single" w:sz="4" w:space="0" w:color="auto"/>
              <w:left w:val="single" w:sz="4" w:space="0" w:color="auto"/>
              <w:bottom w:val="single" w:sz="4" w:space="0" w:color="auto"/>
              <w:right w:val="single" w:sz="4" w:space="0" w:color="auto"/>
            </w:tcBorders>
          </w:tcPr>
          <w:p w:rsidR="00FF0149" w:rsidRPr="00113BC9" w:rsidRDefault="00FF0149" w:rsidP="003164D5">
            <w:pPr>
              <w:jc w:val="left"/>
              <w:rPr>
                <w:rFonts w:ascii="Calibri" w:hAnsi="Calibri"/>
                <w:i/>
                <w:color w:val="C00000"/>
                <w:szCs w:val="22"/>
              </w:rPr>
            </w:pPr>
            <w:r w:rsidRPr="00113BC9">
              <w:rPr>
                <w:rFonts w:ascii="Calibri" w:hAnsi="Calibri"/>
                <w:i/>
                <w:color w:val="C00000"/>
                <w:szCs w:val="22"/>
              </w:rPr>
              <w:t>Briefly describe the timing and scope of any previous PEFA assessment(s) and other PFM diagnostics, and summarize their main findings. For example, which years did the assessments cover, and what were the main strengths and weaknesses they identified?</w:t>
            </w:r>
          </w:p>
          <w:p w:rsidR="00FF0149" w:rsidRPr="0014430F" w:rsidRDefault="00FF0149" w:rsidP="003164D5">
            <w:pPr>
              <w:keepNext/>
              <w:keepLines/>
              <w:jc w:val="left"/>
              <w:outlineLvl w:val="1"/>
              <w:rPr>
                <w:rFonts w:ascii="Calibri" w:eastAsia="MS Gothic" w:hAnsi="Calibri"/>
                <w:b/>
                <w:bCs/>
                <w:color w:val="365F91"/>
                <w:szCs w:val="22"/>
              </w:rPr>
            </w:pPr>
          </w:p>
          <w:p w:rsidR="00FF0149" w:rsidRPr="0014430F" w:rsidRDefault="00FF0149" w:rsidP="003164D5">
            <w:pPr>
              <w:jc w:val="left"/>
              <w:rPr>
                <w:rFonts w:ascii="Calibri" w:hAnsi="Calibri"/>
                <w:szCs w:val="22"/>
              </w:rPr>
            </w:pPr>
          </w:p>
          <w:p w:rsidR="00FF0149" w:rsidRPr="0014430F" w:rsidRDefault="00FF0149" w:rsidP="003164D5">
            <w:pPr>
              <w:jc w:val="left"/>
              <w:rPr>
                <w:rFonts w:ascii="Calibri" w:hAnsi="Calibri"/>
                <w:szCs w:val="22"/>
              </w:rPr>
            </w:pPr>
          </w:p>
          <w:p w:rsidR="00FF0149" w:rsidRDefault="00FF0149" w:rsidP="003164D5">
            <w:pPr>
              <w:jc w:val="left"/>
              <w:rPr>
                <w:rFonts w:ascii="Calibri" w:hAnsi="Calibri"/>
                <w:szCs w:val="22"/>
              </w:rPr>
            </w:pPr>
          </w:p>
          <w:p w:rsidR="00FF0149" w:rsidRPr="0014430F" w:rsidRDefault="00FF0149" w:rsidP="003164D5">
            <w:pPr>
              <w:jc w:val="left"/>
              <w:rPr>
                <w:rFonts w:ascii="Calibri" w:hAnsi="Calibri"/>
                <w:szCs w:val="22"/>
              </w:rPr>
            </w:pPr>
          </w:p>
          <w:p w:rsidR="00FF0149" w:rsidRPr="0014430F" w:rsidRDefault="00FF0149" w:rsidP="003164D5">
            <w:pPr>
              <w:jc w:val="left"/>
              <w:rPr>
                <w:rFonts w:ascii="Calibri" w:hAnsi="Calibri"/>
                <w:szCs w:val="22"/>
              </w:rPr>
            </w:pPr>
          </w:p>
          <w:p w:rsidR="00FF0149" w:rsidRDefault="00FF0149" w:rsidP="003164D5">
            <w:pPr>
              <w:jc w:val="left"/>
              <w:rPr>
                <w:rFonts w:ascii="Calibri" w:hAnsi="Calibri"/>
                <w:szCs w:val="22"/>
              </w:rPr>
            </w:pPr>
          </w:p>
          <w:p w:rsidR="00FF0149" w:rsidRDefault="00FF0149" w:rsidP="003164D5">
            <w:pPr>
              <w:jc w:val="left"/>
              <w:rPr>
                <w:rFonts w:ascii="Calibri" w:hAnsi="Calibri"/>
                <w:szCs w:val="22"/>
              </w:rPr>
            </w:pPr>
          </w:p>
          <w:p w:rsidR="00FF0149" w:rsidRDefault="00FF0149" w:rsidP="003164D5">
            <w:pPr>
              <w:jc w:val="left"/>
              <w:rPr>
                <w:rFonts w:ascii="Calibri" w:hAnsi="Calibri"/>
                <w:szCs w:val="22"/>
              </w:rPr>
            </w:pPr>
          </w:p>
          <w:p w:rsidR="00FF0149" w:rsidRDefault="00FF0149" w:rsidP="003164D5">
            <w:pPr>
              <w:jc w:val="left"/>
              <w:rPr>
                <w:rFonts w:ascii="Calibri" w:hAnsi="Calibri"/>
                <w:szCs w:val="22"/>
              </w:rPr>
            </w:pPr>
          </w:p>
          <w:p w:rsidR="00FF0149" w:rsidRDefault="00FF0149" w:rsidP="003164D5">
            <w:pPr>
              <w:jc w:val="left"/>
              <w:rPr>
                <w:rFonts w:ascii="Calibri" w:hAnsi="Calibri"/>
                <w:szCs w:val="22"/>
              </w:rPr>
            </w:pPr>
          </w:p>
          <w:p w:rsidR="00FF0149" w:rsidRDefault="00FF0149" w:rsidP="003164D5">
            <w:pPr>
              <w:jc w:val="left"/>
              <w:rPr>
                <w:rFonts w:ascii="Calibri" w:hAnsi="Calibri"/>
                <w:szCs w:val="22"/>
              </w:rPr>
            </w:pPr>
          </w:p>
          <w:p w:rsidR="00FF0149" w:rsidRPr="0014430F" w:rsidRDefault="00FF0149" w:rsidP="003164D5">
            <w:pPr>
              <w:jc w:val="left"/>
              <w:rPr>
                <w:rFonts w:ascii="Calibri" w:hAnsi="Calibri"/>
                <w:szCs w:val="22"/>
              </w:rPr>
            </w:pPr>
          </w:p>
          <w:p w:rsidR="00FF0149" w:rsidRPr="002D2A4F" w:rsidRDefault="00FF0149" w:rsidP="003164D5">
            <w:pPr>
              <w:jc w:val="left"/>
            </w:pPr>
          </w:p>
        </w:tc>
      </w:tr>
    </w:tbl>
    <w:p w:rsidR="00FF0149" w:rsidRDefault="00FF0149" w:rsidP="00FF0149"/>
    <w:tbl>
      <w:tblPr>
        <w:tblStyle w:val="TableGrid4"/>
        <w:tblW w:w="10170" w:type="dxa"/>
        <w:tblCellMar>
          <w:left w:w="115" w:type="dxa"/>
          <w:right w:w="115" w:type="dxa"/>
        </w:tblCellMar>
        <w:tblLook w:val="04A0" w:firstRow="1" w:lastRow="0" w:firstColumn="1" w:lastColumn="0" w:noHBand="0" w:noVBand="1"/>
      </w:tblPr>
      <w:tblGrid>
        <w:gridCol w:w="10170"/>
      </w:tblGrid>
      <w:tr w:rsidR="00FF0149" w:rsidRPr="002D2A4F" w:rsidTr="003164D5">
        <w:tc>
          <w:tcPr>
            <w:tcW w:w="10170" w:type="dxa"/>
            <w:tcBorders>
              <w:top w:val="nil"/>
              <w:left w:val="nil"/>
              <w:bottom w:val="single" w:sz="4" w:space="0" w:color="auto"/>
              <w:right w:val="nil"/>
            </w:tcBorders>
          </w:tcPr>
          <w:p w:rsidR="00FF0149" w:rsidRPr="002D2A4F" w:rsidRDefault="00FF0149" w:rsidP="003164D5">
            <w:pPr>
              <w:keepNext/>
              <w:keepLines/>
              <w:ind w:left="792"/>
              <w:jc w:val="left"/>
              <w:outlineLvl w:val="1"/>
              <w:rPr>
                <w:rFonts w:ascii="Calibri" w:eastAsia="MS Gothic" w:hAnsi="Calibri"/>
                <w:b/>
                <w:bCs/>
                <w:color w:val="365F91"/>
                <w:sz w:val="26"/>
                <w:szCs w:val="26"/>
              </w:rPr>
            </w:pPr>
          </w:p>
          <w:p w:rsidR="00FF0149" w:rsidRPr="00A7656B" w:rsidRDefault="00A7656B" w:rsidP="00A7656B">
            <w:pPr>
              <w:ind w:left="335"/>
            </w:pPr>
            <w:r>
              <w:rPr>
                <w:b/>
                <w:color w:val="244061" w:themeColor="accent1" w:themeShade="80"/>
                <w:sz w:val="24"/>
              </w:rPr>
              <w:t xml:space="preserve">2.2 </w:t>
            </w:r>
            <w:r w:rsidR="00FF0149" w:rsidRPr="00A7656B">
              <w:rPr>
                <w:b/>
                <w:color w:val="244061" w:themeColor="accent1" w:themeShade="80"/>
                <w:sz w:val="24"/>
              </w:rPr>
              <w:t>PFM reform initiatives</w:t>
            </w:r>
          </w:p>
        </w:tc>
      </w:tr>
      <w:tr w:rsidR="00FF0149" w:rsidRPr="002D2A4F" w:rsidTr="003164D5">
        <w:tc>
          <w:tcPr>
            <w:tcW w:w="10170" w:type="dxa"/>
            <w:tcBorders>
              <w:top w:val="single" w:sz="4" w:space="0" w:color="auto"/>
              <w:left w:val="single" w:sz="4" w:space="0" w:color="auto"/>
              <w:bottom w:val="single" w:sz="4" w:space="0" w:color="auto"/>
              <w:right w:val="single" w:sz="4" w:space="0" w:color="auto"/>
            </w:tcBorders>
          </w:tcPr>
          <w:p w:rsidR="00FF0149" w:rsidRPr="00113BC9" w:rsidRDefault="00FF0149" w:rsidP="003164D5">
            <w:pPr>
              <w:jc w:val="left"/>
              <w:rPr>
                <w:rFonts w:ascii="Calibri" w:hAnsi="Calibri"/>
                <w:i/>
                <w:color w:val="C00000"/>
                <w:szCs w:val="22"/>
              </w:rPr>
            </w:pPr>
            <w:r w:rsidRPr="00113BC9">
              <w:rPr>
                <w:rFonts w:ascii="Calibri" w:hAnsi="Calibri"/>
                <w:i/>
                <w:color w:val="C00000"/>
                <w:szCs w:val="22"/>
              </w:rPr>
              <w:t>Briefly describe the history of PFM reform and its current status (e.g., PFM action plans), identifying the main areas of emphasis (e.g., tax administration, cash management, procurement). Include information on recent and ongoing activities, and the monitoring arrangements of the government and development partners. Identify the nature of any international cooperation and support initiatives (e.g., from the International Monetary Fund, IMF), such as those involving budget support, technical assistance and sector support.</w:t>
            </w:r>
          </w:p>
          <w:p w:rsidR="00FF0149" w:rsidRPr="0014430F"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Default="00FF0149" w:rsidP="003164D5">
            <w:pPr>
              <w:jc w:val="left"/>
              <w:rPr>
                <w:rFonts w:ascii="Calibri" w:hAnsi="Calibri"/>
                <w:color w:val="C00000"/>
                <w:szCs w:val="22"/>
              </w:rPr>
            </w:pPr>
          </w:p>
          <w:p w:rsidR="00FF0149" w:rsidRPr="0014430F" w:rsidRDefault="00FF0149" w:rsidP="003164D5">
            <w:pPr>
              <w:jc w:val="left"/>
              <w:rPr>
                <w:rFonts w:ascii="Calibri" w:hAnsi="Calibri"/>
                <w:color w:val="C00000"/>
                <w:szCs w:val="22"/>
              </w:rPr>
            </w:pPr>
          </w:p>
          <w:p w:rsidR="00FF0149" w:rsidRPr="0014430F" w:rsidRDefault="00FF0149" w:rsidP="003164D5">
            <w:pPr>
              <w:jc w:val="left"/>
              <w:rPr>
                <w:szCs w:val="22"/>
              </w:rPr>
            </w:pPr>
          </w:p>
          <w:p w:rsidR="00FF0149" w:rsidRPr="002D2A4F" w:rsidRDefault="00FF0149" w:rsidP="003164D5">
            <w:pPr>
              <w:jc w:val="left"/>
            </w:pPr>
          </w:p>
        </w:tc>
      </w:tr>
      <w:tr w:rsidR="00FF0149" w:rsidRPr="002D2A4F" w:rsidTr="003164D5">
        <w:tc>
          <w:tcPr>
            <w:tcW w:w="10170" w:type="dxa"/>
            <w:tcBorders>
              <w:top w:val="single" w:sz="4" w:space="0" w:color="auto"/>
              <w:left w:val="nil"/>
              <w:bottom w:val="nil"/>
              <w:right w:val="nil"/>
            </w:tcBorders>
          </w:tcPr>
          <w:p w:rsidR="00FF0149" w:rsidRPr="002D2A4F" w:rsidRDefault="00FF0149" w:rsidP="003164D5">
            <w:pPr>
              <w:jc w:val="left"/>
              <w:rPr>
                <w:rFonts w:ascii="Calibri" w:hAnsi="Calibri"/>
                <w:i/>
                <w:color w:val="C00000"/>
                <w:szCs w:val="22"/>
              </w:rPr>
            </w:pPr>
          </w:p>
        </w:tc>
      </w:tr>
      <w:tr w:rsidR="00FF0149" w:rsidRPr="002D2A4F" w:rsidTr="003164D5">
        <w:tc>
          <w:tcPr>
            <w:tcW w:w="10170" w:type="dxa"/>
            <w:tcBorders>
              <w:top w:val="nil"/>
              <w:left w:val="nil"/>
              <w:bottom w:val="nil"/>
              <w:right w:val="nil"/>
            </w:tcBorders>
          </w:tcPr>
          <w:p w:rsidR="00FF0149" w:rsidRPr="005959AD" w:rsidRDefault="00FF0149" w:rsidP="00EF1A5A">
            <w:pPr>
              <w:pStyle w:val="ListParagraph"/>
              <w:numPr>
                <w:ilvl w:val="0"/>
                <w:numId w:val="35"/>
              </w:numPr>
              <w:ind w:left="335"/>
              <w:rPr>
                <w:b/>
                <w:color w:val="244061" w:themeColor="accent1" w:themeShade="80"/>
                <w:sz w:val="28"/>
                <w:szCs w:val="28"/>
              </w:rPr>
            </w:pPr>
            <w:r w:rsidRPr="005959AD">
              <w:rPr>
                <w:b/>
                <w:color w:val="244061" w:themeColor="accent1" w:themeShade="80"/>
                <w:sz w:val="28"/>
                <w:szCs w:val="28"/>
              </w:rPr>
              <w:lastRenderedPageBreak/>
              <w:t xml:space="preserve">Purpose, scope, and coverage of the assessment </w:t>
            </w:r>
          </w:p>
          <w:p w:rsidR="00FF0149" w:rsidRPr="00740CED" w:rsidRDefault="00FF0149" w:rsidP="003164D5">
            <w:pPr>
              <w:jc w:val="left"/>
              <w:rPr>
                <w:rFonts w:ascii="Calibri" w:hAnsi="Calibri"/>
                <w:bCs/>
                <w:i/>
                <w:color w:val="C00000"/>
                <w:szCs w:val="22"/>
              </w:rPr>
            </w:pPr>
            <w:r w:rsidRPr="00740CED">
              <w:rPr>
                <w:rFonts w:ascii="Calibri" w:hAnsi="Calibri"/>
                <w:bCs/>
                <w:i/>
                <w:color w:val="C00000"/>
                <w:szCs w:val="22"/>
              </w:rPr>
              <w:t xml:space="preserve">Under the subheadings below, explain the reasons for the assessment and how it relates to the PFM and public sector reform agenda of the national or subnational government. </w:t>
            </w:r>
          </w:p>
          <w:p w:rsidR="00FF0149" w:rsidRPr="002D2A4F" w:rsidRDefault="00FF0149" w:rsidP="003164D5">
            <w:pPr>
              <w:jc w:val="left"/>
              <w:rPr>
                <w:rFonts w:ascii="Calibri" w:hAnsi="Calibri"/>
                <w:bCs/>
                <w:i/>
                <w:color w:val="C00000"/>
                <w:szCs w:val="22"/>
              </w:rPr>
            </w:pPr>
            <w:r w:rsidRPr="00740CED">
              <w:rPr>
                <w:rFonts w:ascii="Calibri" w:hAnsi="Calibri"/>
                <w:color w:val="4BACC6" w:themeColor="accent5"/>
                <w:szCs w:val="22"/>
              </w:rPr>
              <w:t>(Recommended length: no more than 500 words, plus table 2.)</w:t>
            </w:r>
          </w:p>
        </w:tc>
      </w:tr>
      <w:tr w:rsidR="00FF0149" w:rsidRPr="002D2A4F" w:rsidTr="003164D5">
        <w:tc>
          <w:tcPr>
            <w:tcW w:w="10170" w:type="dxa"/>
            <w:tcBorders>
              <w:top w:val="nil"/>
              <w:left w:val="nil"/>
              <w:bottom w:val="single" w:sz="4" w:space="0" w:color="auto"/>
              <w:right w:val="nil"/>
            </w:tcBorders>
          </w:tcPr>
          <w:p w:rsidR="00FF0149" w:rsidRPr="002D2A4F" w:rsidRDefault="00FF0149" w:rsidP="003164D5">
            <w:pPr>
              <w:keepNext/>
              <w:keepLines/>
              <w:jc w:val="left"/>
              <w:outlineLvl w:val="1"/>
              <w:rPr>
                <w:rFonts w:ascii="Calibri" w:eastAsia="MS Gothic" w:hAnsi="Calibri"/>
                <w:b/>
                <w:bCs/>
                <w:color w:val="365F91"/>
                <w:sz w:val="26"/>
                <w:szCs w:val="26"/>
              </w:rPr>
            </w:pPr>
          </w:p>
          <w:p w:rsidR="00FF0149" w:rsidRPr="002D2A4F" w:rsidRDefault="00A7656B" w:rsidP="00A7656B">
            <w:pPr>
              <w:ind w:firstLine="425"/>
            </w:pPr>
            <w:r>
              <w:rPr>
                <w:b/>
                <w:color w:val="244061" w:themeColor="accent1" w:themeShade="80"/>
                <w:sz w:val="24"/>
              </w:rPr>
              <w:t xml:space="preserve">3.1 </w:t>
            </w:r>
            <w:r w:rsidR="00FF0149" w:rsidRPr="00A7656B">
              <w:rPr>
                <w:b/>
                <w:color w:val="244061" w:themeColor="accent1" w:themeShade="80"/>
                <w:sz w:val="24"/>
              </w:rPr>
              <w:t>Purpose</w:t>
            </w:r>
          </w:p>
        </w:tc>
      </w:tr>
      <w:tr w:rsidR="00FF0149" w:rsidRPr="002D2A4F" w:rsidTr="003164D5">
        <w:tc>
          <w:tcPr>
            <w:tcW w:w="10170" w:type="dxa"/>
            <w:tcBorders>
              <w:top w:val="single" w:sz="4" w:space="0" w:color="auto"/>
              <w:left w:val="single" w:sz="4" w:space="0" w:color="auto"/>
              <w:bottom w:val="single" w:sz="4" w:space="0" w:color="auto"/>
              <w:right w:val="single" w:sz="4" w:space="0" w:color="auto"/>
            </w:tcBorders>
          </w:tcPr>
          <w:p w:rsidR="00FF0149" w:rsidRPr="00113BC9" w:rsidRDefault="00FF0149" w:rsidP="003164D5">
            <w:pPr>
              <w:widowControl w:val="0"/>
              <w:autoSpaceDE w:val="0"/>
              <w:autoSpaceDN w:val="0"/>
              <w:adjustRightInd w:val="0"/>
              <w:jc w:val="left"/>
              <w:rPr>
                <w:rFonts w:ascii="Calibri" w:hAnsi="Calibri" w:cs="Times"/>
                <w:i/>
                <w:szCs w:val="22"/>
              </w:rPr>
            </w:pPr>
            <w:r w:rsidRPr="00113BC9">
              <w:rPr>
                <w:rFonts w:ascii="Calibri" w:hAnsi="Calibri"/>
                <w:bCs/>
                <w:i/>
                <w:color w:val="C00000"/>
                <w:szCs w:val="22"/>
              </w:rPr>
              <w:t>Briefly state the purpose of the assessment, within the context described above. Describe how results will be used to inform dialogue on PFM, and the development and implementation of PFM reform initiatives going forward.</w:t>
            </w:r>
          </w:p>
          <w:p w:rsidR="00FF0149" w:rsidRPr="0014430F" w:rsidRDefault="00FF0149" w:rsidP="003164D5">
            <w:pPr>
              <w:jc w:val="left"/>
              <w:rPr>
                <w:rFonts w:ascii="Calibri" w:hAnsi="Calibri"/>
                <w:szCs w:val="22"/>
              </w:rPr>
            </w:pPr>
          </w:p>
          <w:p w:rsidR="00FF0149" w:rsidRPr="0014430F" w:rsidRDefault="00FF0149" w:rsidP="003164D5">
            <w:pPr>
              <w:jc w:val="left"/>
              <w:rPr>
                <w:szCs w:val="22"/>
              </w:rPr>
            </w:pPr>
          </w:p>
          <w:p w:rsidR="00FF0149" w:rsidRPr="0014430F" w:rsidRDefault="00FF0149" w:rsidP="003164D5">
            <w:pPr>
              <w:jc w:val="left"/>
              <w:rPr>
                <w:szCs w:val="22"/>
              </w:rPr>
            </w:pPr>
          </w:p>
          <w:p w:rsidR="00FF0149" w:rsidRPr="0014430F" w:rsidRDefault="00FF0149" w:rsidP="003164D5">
            <w:pPr>
              <w:jc w:val="left"/>
              <w:rPr>
                <w:szCs w:val="22"/>
              </w:rPr>
            </w:pPr>
          </w:p>
          <w:p w:rsidR="00FF0149" w:rsidRDefault="00FF0149" w:rsidP="003164D5">
            <w:pPr>
              <w:jc w:val="left"/>
              <w:rPr>
                <w:szCs w:val="22"/>
              </w:rPr>
            </w:pPr>
          </w:p>
          <w:p w:rsidR="00FF0149" w:rsidRDefault="00FF0149" w:rsidP="003164D5">
            <w:pPr>
              <w:jc w:val="left"/>
              <w:rPr>
                <w:szCs w:val="22"/>
              </w:rPr>
            </w:pPr>
          </w:p>
          <w:p w:rsidR="00FF0149" w:rsidRDefault="00FF0149" w:rsidP="003164D5">
            <w:pPr>
              <w:jc w:val="left"/>
              <w:rPr>
                <w:szCs w:val="22"/>
              </w:rPr>
            </w:pPr>
          </w:p>
          <w:p w:rsidR="00FF0149" w:rsidRDefault="00FF0149" w:rsidP="003164D5">
            <w:pPr>
              <w:jc w:val="left"/>
              <w:rPr>
                <w:szCs w:val="22"/>
              </w:rPr>
            </w:pPr>
          </w:p>
          <w:p w:rsidR="00FF0149" w:rsidRDefault="00FF0149" w:rsidP="003164D5">
            <w:pPr>
              <w:jc w:val="left"/>
              <w:rPr>
                <w:szCs w:val="22"/>
              </w:rPr>
            </w:pPr>
          </w:p>
          <w:p w:rsidR="00FF0149" w:rsidRPr="0014430F" w:rsidRDefault="00FF0149" w:rsidP="003164D5">
            <w:pPr>
              <w:jc w:val="left"/>
              <w:rPr>
                <w:szCs w:val="22"/>
              </w:rPr>
            </w:pPr>
          </w:p>
          <w:p w:rsidR="00FF0149" w:rsidRPr="002D2A4F" w:rsidRDefault="00FF0149" w:rsidP="003164D5">
            <w:pPr>
              <w:jc w:val="left"/>
            </w:pPr>
          </w:p>
        </w:tc>
      </w:tr>
      <w:tr w:rsidR="00FF0149" w:rsidRPr="002D2A4F" w:rsidTr="003164D5">
        <w:tc>
          <w:tcPr>
            <w:tcW w:w="10170" w:type="dxa"/>
            <w:tcBorders>
              <w:top w:val="single" w:sz="4" w:space="0" w:color="auto"/>
              <w:left w:val="nil"/>
              <w:bottom w:val="single" w:sz="4" w:space="0" w:color="auto"/>
              <w:right w:val="nil"/>
            </w:tcBorders>
          </w:tcPr>
          <w:p w:rsidR="00FF0149" w:rsidRPr="002D2A4F" w:rsidRDefault="00FF0149" w:rsidP="003164D5">
            <w:pPr>
              <w:keepNext/>
              <w:keepLines/>
              <w:ind w:left="792"/>
              <w:jc w:val="left"/>
              <w:outlineLvl w:val="1"/>
              <w:rPr>
                <w:rFonts w:ascii="Calibri" w:eastAsia="MS Gothic" w:hAnsi="Calibri"/>
                <w:b/>
                <w:i/>
                <w:color w:val="C00000"/>
                <w:sz w:val="26"/>
                <w:szCs w:val="26"/>
              </w:rPr>
            </w:pPr>
          </w:p>
          <w:p w:rsidR="00FF0149" w:rsidRPr="002D2A4F" w:rsidRDefault="00A7656B" w:rsidP="00A7656B">
            <w:pPr>
              <w:ind w:firstLine="425"/>
              <w:rPr>
                <w:i/>
                <w:color w:val="C00000"/>
              </w:rPr>
            </w:pPr>
            <w:r>
              <w:rPr>
                <w:b/>
                <w:color w:val="244061" w:themeColor="accent1" w:themeShade="80"/>
                <w:sz w:val="24"/>
              </w:rPr>
              <w:t xml:space="preserve">3.2 </w:t>
            </w:r>
            <w:r w:rsidR="00FF0149" w:rsidRPr="00A7656B">
              <w:rPr>
                <w:b/>
                <w:color w:val="244061" w:themeColor="accent1" w:themeShade="80"/>
                <w:sz w:val="24"/>
              </w:rPr>
              <w:t>Scope and coverage</w:t>
            </w:r>
          </w:p>
        </w:tc>
      </w:tr>
      <w:tr w:rsidR="00FF0149" w:rsidRPr="002D2A4F" w:rsidTr="005558FC">
        <w:tc>
          <w:tcPr>
            <w:tcW w:w="10170" w:type="dxa"/>
            <w:tcBorders>
              <w:top w:val="single" w:sz="4" w:space="0" w:color="auto"/>
              <w:left w:val="single" w:sz="4" w:space="0" w:color="auto"/>
              <w:bottom w:val="single" w:sz="4" w:space="0" w:color="auto"/>
              <w:right w:val="single" w:sz="4" w:space="0" w:color="auto"/>
            </w:tcBorders>
          </w:tcPr>
          <w:p w:rsidR="00FF0149" w:rsidRPr="00113BC9" w:rsidRDefault="00FF0149" w:rsidP="003164D5">
            <w:pPr>
              <w:jc w:val="left"/>
              <w:rPr>
                <w:b/>
                <w:bCs/>
                <w:i/>
                <w:color w:val="C00000"/>
                <w:szCs w:val="22"/>
              </w:rPr>
            </w:pPr>
            <w:r w:rsidRPr="00113BC9">
              <w:rPr>
                <w:bCs/>
                <w:i/>
                <w:color w:val="C00000"/>
                <w:szCs w:val="22"/>
              </w:rPr>
              <w:t xml:space="preserve">Specify which part of the public sector will be covered by the assessment. Typically, this will be the central government, except where PEFA indicators specifically refer to a smaller or wider range, such as the budgetary units of the central government or government at all levels. </w:t>
            </w:r>
          </w:p>
          <w:p w:rsidR="00FF0149" w:rsidRPr="00113BC9" w:rsidRDefault="00FF0149" w:rsidP="003164D5">
            <w:pPr>
              <w:jc w:val="left"/>
              <w:rPr>
                <w:bCs/>
                <w:i/>
                <w:color w:val="C00000"/>
                <w:szCs w:val="22"/>
              </w:rPr>
            </w:pPr>
          </w:p>
          <w:p w:rsidR="00FF0149" w:rsidRPr="00113BC9" w:rsidRDefault="00FF0149" w:rsidP="003164D5">
            <w:pPr>
              <w:jc w:val="left"/>
              <w:rPr>
                <w:bCs/>
                <w:i/>
                <w:color w:val="C00000"/>
                <w:szCs w:val="22"/>
              </w:rPr>
            </w:pPr>
            <w:r w:rsidRPr="00113BC9">
              <w:rPr>
                <w:bCs/>
                <w:i/>
                <w:color w:val="C00000"/>
                <w:szCs w:val="22"/>
              </w:rPr>
              <w:t>For subnational government assessments, the official name of the jurisdiction covered is required. If the assessment covers multiple subnational governments, then the method of their selection should be explained.</w:t>
            </w:r>
          </w:p>
          <w:p w:rsidR="00FF0149" w:rsidRPr="00113BC9" w:rsidRDefault="00FF0149" w:rsidP="003164D5">
            <w:pPr>
              <w:jc w:val="left"/>
              <w:rPr>
                <w:bCs/>
                <w:i/>
                <w:color w:val="C00000"/>
                <w:szCs w:val="22"/>
              </w:rPr>
            </w:pPr>
          </w:p>
          <w:p w:rsidR="00FF0149" w:rsidRDefault="00FF0149" w:rsidP="003164D5">
            <w:pPr>
              <w:jc w:val="left"/>
              <w:rPr>
                <w:bCs/>
                <w:i/>
                <w:color w:val="C00000"/>
                <w:szCs w:val="22"/>
              </w:rPr>
            </w:pPr>
            <w:r w:rsidRPr="00113BC9">
              <w:rPr>
                <w:bCs/>
                <w:i/>
                <w:color w:val="C00000"/>
                <w:szCs w:val="22"/>
              </w:rPr>
              <w:t>Complete table 2 with details on the units within the scope of the assessment. Include up to 10 main budgetary units such as ministries, departments, or agencies. In addition, the main extrabudgetary units or groups and public corporations should be included where they constitute a significant share of the government expenditure covered by the assessment.</w:t>
            </w:r>
          </w:p>
          <w:p w:rsidR="00FF0149" w:rsidRDefault="00FF0149" w:rsidP="003164D5">
            <w:pPr>
              <w:jc w:val="left"/>
              <w:rPr>
                <w:bCs/>
                <w:i/>
                <w:color w:val="C00000"/>
                <w:szCs w:val="22"/>
              </w:rPr>
            </w:pPr>
          </w:p>
          <w:p w:rsidR="00FF0149" w:rsidRDefault="00FF0149" w:rsidP="003164D5">
            <w:pPr>
              <w:jc w:val="left"/>
              <w:rPr>
                <w:bCs/>
                <w:i/>
                <w:color w:val="C00000"/>
                <w:szCs w:val="22"/>
              </w:rPr>
            </w:pPr>
          </w:p>
          <w:p w:rsidR="00FF0149" w:rsidRDefault="00FF0149" w:rsidP="003164D5">
            <w:pPr>
              <w:jc w:val="left"/>
              <w:rPr>
                <w:bCs/>
                <w:i/>
                <w:color w:val="C00000"/>
                <w:szCs w:val="22"/>
              </w:rPr>
            </w:pPr>
          </w:p>
          <w:p w:rsidR="00FF0149" w:rsidRDefault="00FF0149" w:rsidP="003164D5">
            <w:pPr>
              <w:jc w:val="left"/>
              <w:rPr>
                <w:bCs/>
                <w:i/>
                <w:color w:val="C00000"/>
                <w:szCs w:val="22"/>
              </w:rPr>
            </w:pPr>
          </w:p>
          <w:p w:rsidR="00FF0149" w:rsidRDefault="00FF0149" w:rsidP="003164D5">
            <w:pPr>
              <w:jc w:val="left"/>
              <w:rPr>
                <w:bCs/>
                <w:i/>
                <w:color w:val="C00000"/>
                <w:szCs w:val="22"/>
              </w:rPr>
            </w:pPr>
          </w:p>
          <w:p w:rsidR="00FF0149" w:rsidRDefault="00FF0149" w:rsidP="003164D5">
            <w:pPr>
              <w:jc w:val="left"/>
              <w:rPr>
                <w:bCs/>
                <w:i/>
                <w:color w:val="C00000"/>
                <w:szCs w:val="22"/>
              </w:rPr>
            </w:pPr>
          </w:p>
          <w:p w:rsidR="00FF0149" w:rsidRDefault="00FF0149" w:rsidP="003164D5">
            <w:pPr>
              <w:jc w:val="left"/>
              <w:rPr>
                <w:bCs/>
                <w:i/>
                <w:color w:val="C00000"/>
                <w:szCs w:val="22"/>
              </w:rPr>
            </w:pPr>
          </w:p>
          <w:p w:rsidR="00FF0149" w:rsidRDefault="00FF0149" w:rsidP="003164D5">
            <w:pPr>
              <w:jc w:val="left"/>
              <w:rPr>
                <w:bCs/>
                <w:i/>
                <w:color w:val="C00000"/>
                <w:szCs w:val="22"/>
              </w:rPr>
            </w:pPr>
          </w:p>
          <w:p w:rsidR="00FF0149" w:rsidRDefault="00FF0149" w:rsidP="003164D5">
            <w:pPr>
              <w:jc w:val="left"/>
              <w:rPr>
                <w:bCs/>
                <w:i/>
                <w:color w:val="C00000"/>
                <w:szCs w:val="22"/>
              </w:rPr>
            </w:pPr>
          </w:p>
          <w:p w:rsidR="00FF0149" w:rsidRDefault="00FF0149" w:rsidP="003164D5">
            <w:pPr>
              <w:jc w:val="left"/>
              <w:rPr>
                <w:bCs/>
                <w:i/>
                <w:color w:val="C00000"/>
                <w:szCs w:val="22"/>
              </w:rPr>
            </w:pPr>
          </w:p>
          <w:p w:rsidR="00FF0149" w:rsidRDefault="00FF0149" w:rsidP="003164D5">
            <w:pPr>
              <w:jc w:val="left"/>
              <w:rPr>
                <w:bCs/>
                <w:color w:val="C00000"/>
                <w:szCs w:val="22"/>
              </w:rPr>
            </w:pPr>
          </w:p>
          <w:p w:rsidR="00FF0149" w:rsidRDefault="00FF0149" w:rsidP="003164D5">
            <w:pPr>
              <w:jc w:val="left"/>
              <w:rPr>
                <w:szCs w:val="22"/>
              </w:rPr>
            </w:pPr>
          </w:p>
          <w:p w:rsidR="005558FC" w:rsidRPr="00740CED" w:rsidRDefault="005558FC" w:rsidP="003164D5">
            <w:pPr>
              <w:jc w:val="left"/>
              <w:rPr>
                <w:szCs w:val="22"/>
              </w:rPr>
            </w:pPr>
          </w:p>
        </w:tc>
      </w:tr>
    </w:tbl>
    <w:p w:rsidR="00FF0149" w:rsidRDefault="00FF0149" w:rsidP="00FF0149"/>
    <w:tbl>
      <w:tblPr>
        <w:tblStyle w:val="TableGrid4"/>
        <w:tblW w:w="10170" w:type="dxa"/>
        <w:tblCellMar>
          <w:left w:w="115" w:type="dxa"/>
          <w:right w:w="115" w:type="dxa"/>
        </w:tblCellMar>
        <w:tblLook w:val="04A0" w:firstRow="1" w:lastRow="0" w:firstColumn="1" w:lastColumn="0" w:noHBand="0" w:noVBand="1"/>
      </w:tblPr>
      <w:tblGrid>
        <w:gridCol w:w="3390"/>
        <w:gridCol w:w="3390"/>
        <w:gridCol w:w="3390"/>
      </w:tblGrid>
      <w:tr w:rsidR="005558FC" w:rsidRPr="002D2A4F" w:rsidTr="005558FC">
        <w:tc>
          <w:tcPr>
            <w:tcW w:w="10170" w:type="dxa"/>
            <w:gridSpan w:val="3"/>
            <w:tcBorders>
              <w:top w:val="nil"/>
              <w:left w:val="nil"/>
              <w:bottom w:val="single" w:sz="4" w:space="0" w:color="auto"/>
              <w:right w:val="nil"/>
            </w:tcBorders>
            <w:shd w:val="clear" w:color="auto" w:fill="FFFFFF"/>
          </w:tcPr>
          <w:p w:rsidR="005558FC" w:rsidRPr="004E49AB" w:rsidRDefault="005558FC" w:rsidP="00C92EE1">
            <w:pPr>
              <w:ind w:firstLine="425"/>
              <w:rPr>
                <w:b/>
                <w:szCs w:val="22"/>
                <w:highlight w:val="yellow"/>
              </w:rPr>
            </w:pPr>
            <w:r w:rsidRPr="004E49AB">
              <w:rPr>
                <w:b/>
                <w:color w:val="244061" w:themeColor="accent1" w:themeShade="80"/>
                <w:sz w:val="24"/>
                <w:highlight w:val="yellow"/>
              </w:rPr>
              <w:lastRenderedPageBreak/>
              <w:t xml:space="preserve">3.3 </w:t>
            </w:r>
            <w:r w:rsidR="00C92EE1" w:rsidRPr="004E49AB">
              <w:rPr>
                <w:b/>
                <w:color w:val="244061" w:themeColor="accent1" w:themeShade="80"/>
                <w:sz w:val="24"/>
                <w:highlight w:val="yellow"/>
              </w:rPr>
              <w:t>Time period for assessing perfo</w:t>
            </w:r>
            <w:r w:rsidR="00386057" w:rsidRPr="004E49AB">
              <w:rPr>
                <w:b/>
                <w:color w:val="244061" w:themeColor="accent1" w:themeShade="80"/>
                <w:sz w:val="24"/>
                <w:highlight w:val="yellow"/>
              </w:rPr>
              <w:t>r</w:t>
            </w:r>
            <w:r w:rsidR="00C92EE1" w:rsidRPr="004E49AB">
              <w:rPr>
                <w:b/>
                <w:color w:val="244061" w:themeColor="accent1" w:themeShade="80"/>
                <w:sz w:val="24"/>
                <w:highlight w:val="yellow"/>
              </w:rPr>
              <w:t>mance</w:t>
            </w:r>
          </w:p>
        </w:tc>
      </w:tr>
      <w:tr w:rsidR="005558FC" w:rsidRPr="002D2A4F" w:rsidTr="005558FC">
        <w:tc>
          <w:tcPr>
            <w:tcW w:w="10170" w:type="dxa"/>
            <w:gridSpan w:val="3"/>
            <w:tcBorders>
              <w:top w:val="single" w:sz="4" w:space="0" w:color="auto"/>
              <w:left w:val="single" w:sz="4" w:space="0" w:color="auto"/>
              <w:bottom w:val="single" w:sz="4" w:space="0" w:color="auto"/>
              <w:right w:val="single" w:sz="4" w:space="0" w:color="auto"/>
            </w:tcBorders>
            <w:shd w:val="clear" w:color="auto" w:fill="FFFFFF"/>
          </w:tcPr>
          <w:p w:rsidR="005558FC" w:rsidRPr="004E49AB" w:rsidRDefault="005558FC" w:rsidP="005558FC">
            <w:pPr>
              <w:jc w:val="left"/>
              <w:rPr>
                <w:bCs/>
                <w:i/>
                <w:color w:val="C00000"/>
                <w:szCs w:val="22"/>
                <w:highlight w:val="yellow"/>
              </w:rPr>
            </w:pPr>
            <w:r w:rsidRPr="004E49AB">
              <w:rPr>
                <w:bCs/>
                <w:i/>
                <w:color w:val="C00000"/>
                <w:szCs w:val="22"/>
                <w:highlight w:val="yellow"/>
              </w:rPr>
              <w:t>The CN should explain the tim</w:t>
            </w:r>
            <w:r w:rsidR="00C92EE1" w:rsidRPr="004E49AB">
              <w:rPr>
                <w:bCs/>
                <w:i/>
                <w:color w:val="C00000"/>
                <w:szCs w:val="22"/>
                <w:highlight w:val="yellow"/>
              </w:rPr>
              <w:t>e periods</w:t>
            </w:r>
            <w:r w:rsidRPr="004E49AB">
              <w:rPr>
                <w:bCs/>
                <w:i/>
                <w:color w:val="C00000"/>
                <w:szCs w:val="22"/>
                <w:highlight w:val="yellow"/>
              </w:rPr>
              <w:t xml:space="preserve"> for the assessment and state the proposed cut-off date for</w:t>
            </w:r>
            <w:r w:rsidR="00386057" w:rsidRPr="004E49AB">
              <w:rPr>
                <w:bCs/>
                <w:i/>
                <w:color w:val="C00000"/>
                <w:szCs w:val="22"/>
                <w:highlight w:val="yellow"/>
              </w:rPr>
              <w:t xml:space="preserve"> d</w:t>
            </w:r>
            <w:r w:rsidR="00C92EE1" w:rsidRPr="004E49AB">
              <w:rPr>
                <w:bCs/>
                <w:i/>
                <w:color w:val="C00000"/>
                <w:szCs w:val="22"/>
                <w:highlight w:val="yellow"/>
              </w:rPr>
              <w:t xml:space="preserve">ata </w:t>
            </w:r>
            <w:r w:rsidRPr="004E49AB">
              <w:rPr>
                <w:bCs/>
                <w:i/>
                <w:color w:val="C00000"/>
                <w:szCs w:val="22"/>
                <w:highlight w:val="yellow"/>
              </w:rPr>
              <w:t xml:space="preserve">measurement. </w:t>
            </w:r>
          </w:p>
          <w:p w:rsidR="005558FC" w:rsidRPr="004E49AB" w:rsidRDefault="005558FC" w:rsidP="005558FC">
            <w:pPr>
              <w:jc w:val="left"/>
              <w:rPr>
                <w:bCs/>
                <w:i/>
                <w:color w:val="C00000"/>
                <w:szCs w:val="22"/>
                <w:highlight w:val="yellow"/>
              </w:rPr>
            </w:pPr>
            <w:r w:rsidRPr="004E49AB">
              <w:rPr>
                <w:bCs/>
                <w:i/>
                <w:color w:val="C00000"/>
                <w:szCs w:val="22"/>
                <w:highlight w:val="yellow"/>
              </w:rPr>
              <w:t>The cut-off date is the last date for which data included in the assessment</w:t>
            </w:r>
            <w:r w:rsidR="00C92EE1" w:rsidRPr="004E49AB">
              <w:rPr>
                <w:bCs/>
                <w:i/>
                <w:color w:val="C00000"/>
                <w:szCs w:val="22"/>
                <w:highlight w:val="yellow"/>
              </w:rPr>
              <w:t xml:space="preserve"> </w:t>
            </w:r>
            <w:r w:rsidRPr="004E49AB">
              <w:rPr>
                <w:bCs/>
                <w:i/>
                <w:color w:val="C00000"/>
                <w:szCs w:val="22"/>
                <w:highlight w:val="yellow"/>
              </w:rPr>
              <w:t>was considered. This is crucial for identifying the “last completed fiscal year” referred to in many dimensions</w:t>
            </w:r>
            <w:r w:rsidR="00C92EE1" w:rsidRPr="004E49AB">
              <w:rPr>
                <w:bCs/>
                <w:i/>
                <w:color w:val="C00000"/>
                <w:szCs w:val="22"/>
                <w:highlight w:val="yellow"/>
              </w:rPr>
              <w:t xml:space="preserve"> </w:t>
            </w:r>
            <w:r w:rsidRPr="004E49AB">
              <w:rPr>
                <w:bCs/>
                <w:i/>
                <w:color w:val="C00000"/>
                <w:szCs w:val="22"/>
                <w:highlight w:val="yellow"/>
              </w:rPr>
              <w:t>and the critical date for consideration of circumstances applying “at the time of the assessment”, which is</w:t>
            </w:r>
          </w:p>
          <w:p w:rsidR="005558FC" w:rsidRPr="004E49AB" w:rsidRDefault="005558FC" w:rsidP="005558FC">
            <w:pPr>
              <w:jc w:val="left"/>
              <w:rPr>
                <w:bCs/>
                <w:i/>
                <w:color w:val="C00000"/>
                <w:szCs w:val="22"/>
                <w:highlight w:val="yellow"/>
              </w:rPr>
            </w:pPr>
            <w:r w:rsidRPr="004E49AB">
              <w:rPr>
                <w:bCs/>
                <w:i/>
                <w:color w:val="C00000"/>
                <w:szCs w:val="22"/>
                <w:highlight w:val="yellow"/>
              </w:rPr>
              <w:t>relevant to other dimensions.</w:t>
            </w:r>
          </w:p>
          <w:p w:rsidR="005558FC" w:rsidRPr="004E49AB" w:rsidRDefault="005558FC" w:rsidP="003164D5">
            <w:pPr>
              <w:jc w:val="left"/>
              <w:rPr>
                <w:b/>
                <w:szCs w:val="22"/>
                <w:highlight w:val="yellow"/>
              </w:rPr>
            </w:pPr>
          </w:p>
          <w:p w:rsidR="005558FC" w:rsidRPr="004E49AB" w:rsidRDefault="005558FC" w:rsidP="003164D5">
            <w:pPr>
              <w:jc w:val="left"/>
              <w:rPr>
                <w:b/>
                <w:szCs w:val="22"/>
                <w:highlight w:val="yellow"/>
              </w:rPr>
            </w:pPr>
          </w:p>
          <w:p w:rsidR="005558FC" w:rsidRPr="004E49AB" w:rsidRDefault="005558FC" w:rsidP="003164D5">
            <w:pPr>
              <w:jc w:val="left"/>
              <w:rPr>
                <w:b/>
                <w:szCs w:val="22"/>
                <w:highlight w:val="yellow"/>
              </w:rPr>
            </w:pPr>
          </w:p>
          <w:p w:rsidR="005558FC" w:rsidRPr="004E49AB" w:rsidRDefault="005558FC" w:rsidP="003164D5">
            <w:pPr>
              <w:jc w:val="left"/>
              <w:rPr>
                <w:b/>
                <w:szCs w:val="22"/>
                <w:highlight w:val="yellow"/>
              </w:rPr>
            </w:pPr>
          </w:p>
          <w:p w:rsidR="005558FC" w:rsidRPr="004E49AB" w:rsidRDefault="005558FC" w:rsidP="003164D5">
            <w:pPr>
              <w:jc w:val="left"/>
              <w:rPr>
                <w:b/>
                <w:szCs w:val="22"/>
                <w:highlight w:val="yellow"/>
              </w:rPr>
            </w:pPr>
          </w:p>
          <w:p w:rsidR="005558FC" w:rsidRPr="004E49AB" w:rsidRDefault="005558FC" w:rsidP="003164D5">
            <w:pPr>
              <w:jc w:val="left"/>
              <w:rPr>
                <w:b/>
                <w:szCs w:val="22"/>
                <w:highlight w:val="yellow"/>
              </w:rPr>
            </w:pPr>
          </w:p>
          <w:p w:rsidR="005558FC" w:rsidRPr="004E49AB" w:rsidRDefault="005558FC" w:rsidP="003164D5">
            <w:pPr>
              <w:jc w:val="left"/>
              <w:rPr>
                <w:b/>
                <w:szCs w:val="22"/>
                <w:highlight w:val="yellow"/>
              </w:rPr>
            </w:pPr>
          </w:p>
          <w:p w:rsidR="005558FC" w:rsidRPr="004E49AB" w:rsidRDefault="005558FC" w:rsidP="003164D5">
            <w:pPr>
              <w:jc w:val="left"/>
              <w:rPr>
                <w:b/>
                <w:szCs w:val="22"/>
                <w:highlight w:val="yellow"/>
              </w:rPr>
            </w:pPr>
          </w:p>
        </w:tc>
      </w:tr>
      <w:tr w:rsidR="005558FC" w:rsidRPr="002D2A4F" w:rsidTr="003164D5">
        <w:tc>
          <w:tcPr>
            <w:tcW w:w="10170" w:type="dxa"/>
            <w:gridSpan w:val="3"/>
            <w:tcBorders>
              <w:top w:val="nil"/>
              <w:left w:val="nil"/>
              <w:bottom w:val="single" w:sz="4" w:space="0" w:color="auto"/>
              <w:right w:val="nil"/>
            </w:tcBorders>
            <w:shd w:val="clear" w:color="auto" w:fill="FFFFFF"/>
          </w:tcPr>
          <w:p w:rsidR="005558FC" w:rsidRPr="00CF5329" w:rsidRDefault="005558FC" w:rsidP="003164D5">
            <w:pPr>
              <w:jc w:val="left"/>
              <w:rPr>
                <w:b/>
                <w:szCs w:val="22"/>
              </w:rPr>
            </w:pPr>
          </w:p>
        </w:tc>
      </w:tr>
      <w:tr w:rsidR="00FF0149" w:rsidRPr="002D2A4F" w:rsidTr="003164D5">
        <w:tc>
          <w:tcPr>
            <w:tcW w:w="10170" w:type="dxa"/>
            <w:gridSpan w:val="3"/>
            <w:tcBorders>
              <w:top w:val="nil"/>
              <w:left w:val="nil"/>
              <w:bottom w:val="single" w:sz="4" w:space="0" w:color="auto"/>
              <w:right w:val="nil"/>
            </w:tcBorders>
            <w:shd w:val="clear" w:color="auto" w:fill="FFFFFF"/>
            <w:hideMark/>
          </w:tcPr>
          <w:p w:rsidR="00FF0149" w:rsidRPr="0014430F" w:rsidRDefault="00FF0149" w:rsidP="003164D5">
            <w:pPr>
              <w:jc w:val="left"/>
              <w:rPr>
                <w:rFonts w:ascii="Calibri" w:hAnsi="Calibri"/>
                <w:bCs/>
                <w:i/>
                <w:color w:val="C00000"/>
                <w:szCs w:val="22"/>
              </w:rPr>
            </w:pPr>
            <w:r w:rsidRPr="00CF5329">
              <w:rPr>
                <w:b/>
                <w:szCs w:val="22"/>
              </w:rPr>
              <w:t>Table 2. Main units of government to be covered by the assessment</w:t>
            </w: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shd w:val="clear" w:color="auto" w:fill="DBE5F1"/>
            <w:hideMark/>
          </w:tcPr>
          <w:p w:rsidR="00FF0149" w:rsidRPr="002D2A4F" w:rsidRDefault="00FF0149" w:rsidP="003164D5">
            <w:pPr>
              <w:jc w:val="center"/>
              <w:rPr>
                <w:b/>
                <w:sz w:val="18"/>
                <w:szCs w:val="18"/>
              </w:rPr>
            </w:pPr>
            <w:r w:rsidRPr="002D2A4F">
              <w:rPr>
                <w:b/>
                <w:sz w:val="18"/>
                <w:szCs w:val="18"/>
              </w:rPr>
              <w:t xml:space="preserve">Budgetary units </w:t>
            </w:r>
            <w:r w:rsidRPr="002D2A4F">
              <w:rPr>
                <w:color w:val="C00000"/>
                <w:sz w:val="18"/>
                <w:szCs w:val="18"/>
              </w:rPr>
              <w:t>(such as ministries, departments, or agencies)</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rsidR="00FF0149" w:rsidRPr="002D2A4F" w:rsidRDefault="00FF0149" w:rsidP="003164D5">
            <w:pPr>
              <w:jc w:val="center"/>
              <w:rPr>
                <w:b/>
                <w:sz w:val="18"/>
                <w:szCs w:val="18"/>
              </w:rPr>
            </w:pPr>
            <w:r w:rsidRPr="002D2A4F">
              <w:rPr>
                <w:b/>
                <w:sz w:val="18"/>
                <w:szCs w:val="18"/>
              </w:rPr>
              <w:t>Extrabudgetary units</w:t>
            </w:r>
          </w:p>
        </w:tc>
        <w:tc>
          <w:tcPr>
            <w:tcW w:w="3390" w:type="dxa"/>
            <w:tcBorders>
              <w:top w:val="single" w:sz="4" w:space="0" w:color="auto"/>
              <w:left w:val="single" w:sz="4" w:space="0" w:color="auto"/>
              <w:bottom w:val="single" w:sz="4" w:space="0" w:color="auto"/>
              <w:right w:val="single" w:sz="4" w:space="0" w:color="auto"/>
            </w:tcBorders>
            <w:shd w:val="clear" w:color="auto" w:fill="DBE5F1"/>
            <w:hideMark/>
          </w:tcPr>
          <w:p w:rsidR="00FF0149" w:rsidRPr="002D2A4F" w:rsidRDefault="00FF0149" w:rsidP="003164D5">
            <w:pPr>
              <w:jc w:val="center"/>
              <w:rPr>
                <w:b/>
                <w:sz w:val="18"/>
                <w:szCs w:val="18"/>
              </w:rPr>
            </w:pPr>
            <w:r w:rsidRPr="002D2A4F">
              <w:rPr>
                <w:b/>
                <w:sz w:val="18"/>
                <w:szCs w:val="18"/>
              </w:rPr>
              <w:t>Public corporations</w:t>
            </w:r>
            <w:r w:rsidRPr="002D2A4F">
              <w:rPr>
                <w:b/>
                <w:color w:val="C00000"/>
                <w:sz w:val="18"/>
                <w:szCs w:val="18"/>
              </w:rPr>
              <w:t>*</w:t>
            </w: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Example:</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Example:</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Example:</w:t>
            </w: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Office of the President</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Health authority</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Water corporation</w:t>
            </w: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Office of the Prime Minister</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Civil aviation authority</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Ports authority</w:t>
            </w: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Ministry of Finance</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Universities</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Electricity corporation</w:t>
            </w: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Ministry of Education</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Technical colleges</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Investment bank</w:t>
            </w: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Ministry of Health</w:t>
            </w: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Tourist board</w:t>
            </w:r>
          </w:p>
        </w:tc>
        <w:tc>
          <w:tcPr>
            <w:tcW w:w="3390" w:type="dxa"/>
            <w:tcBorders>
              <w:top w:val="single" w:sz="4" w:space="0" w:color="auto"/>
              <w:left w:val="single" w:sz="4" w:space="0" w:color="auto"/>
              <w:bottom w:val="single" w:sz="4" w:space="0" w:color="auto"/>
              <w:right w:val="single" w:sz="4" w:space="0" w:color="auto"/>
            </w:tcBorders>
          </w:tcPr>
          <w:p w:rsidR="00FF0149" w:rsidRPr="002D2A4F" w:rsidRDefault="00FF0149" w:rsidP="003164D5">
            <w:pPr>
              <w:jc w:val="left"/>
              <w:rPr>
                <w:color w:val="C00000"/>
                <w:sz w:val="18"/>
                <w:szCs w:val="18"/>
              </w:rPr>
            </w:pP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tcPr>
          <w:p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color w:val="C00000"/>
                <w:sz w:val="18"/>
                <w:szCs w:val="18"/>
              </w:rPr>
            </w:pPr>
            <w:r w:rsidRPr="002D2A4F">
              <w:rPr>
                <w:color w:val="C00000"/>
                <w:sz w:val="18"/>
                <w:szCs w:val="18"/>
              </w:rPr>
              <w:t xml:space="preserve">Social insurance fund </w:t>
            </w:r>
          </w:p>
        </w:tc>
        <w:tc>
          <w:tcPr>
            <w:tcW w:w="3390" w:type="dxa"/>
            <w:tcBorders>
              <w:top w:val="single" w:sz="4" w:space="0" w:color="auto"/>
              <w:left w:val="single" w:sz="4" w:space="0" w:color="auto"/>
              <w:bottom w:val="single" w:sz="4" w:space="0" w:color="auto"/>
              <w:right w:val="single" w:sz="4" w:space="0" w:color="auto"/>
            </w:tcBorders>
          </w:tcPr>
          <w:p w:rsidR="00FF0149" w:rsidRPr="002D2A4F" w:rsidRDefault="00FF0149" w:rsidP="003164D5">
            <w:pPr>
              <w:jc w:val="left"/>
              <w:rPr>
                <w:color w:val="C00000"/>
                <w:sz w:val="18"/>
                <w:szCs w:val="18"/>
              </w:rPr>
            </w:pP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tcPr>
          <w:p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rsidR="00FF0149" w:rsidRPr="002D2A4F" w:rsidRDefault="00FF0149" w:rsidP="003164D5">
            <w:pPr>
              <w:jc w:val="left"/>
              <w:rPr>
                <w:color w:val="C00000"/>
                <w:sz w:val="18"/>
                <w:szCs w:val="18"/>
              </w:rPr>
            </w:pPr>
          </w:p>
        </w:tc>
      </w:tr>
      <w:tr w:rsidR="00FF0149" w:rsidRPr="002D2A4F" w:rsidTr="003164D5">
        <w:tc>
          <w:tcPr>
            <w:tcW w:w="3390" w:type="dxa"/>
            <w:tcBorders>
              <w:top w:val="single" w:sz="4" w:space="0" w:color="auto"/>
              <w:left w:val="single" w:sz="4" w:space="0" w:color="auto"/>
              <w:bottom w:val="single" w:sz="4" w:space="0" w:color="auto"/>
              <w:right w:val="single" w:sz="4" w:space="0" w:color="auto"/>
            </w:tcBorders>
          </w:tcPr>
          <w:p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rsidR="00FF0149" w:rsidRPr="002D2A4F" w:rsidRDefault="00FF0149" w:rsidP="003164D5">
            <w:pPr>
              <w:jc w:val="left"/>
              <w:rPr>
                <w:color w:val="C00000"/>
                <w:sz w:val="18"/>
                <w:szCs w:val="18"/>
              </w:rPr>
            </w:pPr>
          </w:p>
        </w:tc>
        <w:tc>
          <w:tcPr>
            <w:tcW w:w="3390" w:type="dxa"/>
            <w:tcBorders>
              <w:top w:val="single" w:sz="4" w:space="0" w:color="auto"/>
              <w:left w:val="single" w:sz="4" w:space="0" w:color="auto"/>
              <w:bottom w:val="single" w:sz="4" w:space="0" w:color="auto"/>
              <w:right w:val="single" w:sz="4" w:space="0" w:color="auto"/>
            </w:tcBorders>
          </w:tcPr>
          <w:p w:rsidR="00FF0149" w:rsidRPr="002D2A4F" w:rsidRDefault="00FF0149" w:rsidP="003164D5">
            <w:pPr>
              <w:jc w:val="left"/>
              <w:rPr>
                <w:color w:val="C00000"/>
                <w:sz w:val="18"/>
                <w:szCs w:val="18"/>
              </w:rPr>
            </w:pPr>
          </w:p>
        </w:tc>
      </w:tr>
      <w:tr w:rsidR="00FF0149" w:rsidRPr="002D2A4F" w:rsidTr="003164D5">
        <w:tc>
          <w:tcPr>
            <w:tcW w:w="10170" w:type="dxa"/>
            <w:gridSpan w:val="3"/>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rFonts w:ascii="Calibri" w:hAnsi="Calibri"/>
                <w:bCs/>
                <w:i/>
                <w:color w:val="C00000"/>
                <w:sz w:val="18"/>
                <w:szCs w:val="18"/>
              </w:rPr>
            </w:pPr>
            <w:r w:rsidRPr="002D2A4F">
              <w:rPr>
                <w:rFonts w:ascii="Calibri" w:hAnsi="Calibri"/>
                <w:bCs/>
                <w:i/>
                <w:color w:val="C00000"/>
                <w:sz w:val="18"/>
                <w:szCs w:val="18"/>
              </w:rPr>
              <w:t>* Only include institutional units within the scope of the assessment. For assessments of subnational governments, such units would be only those owned and controlled at the subnational level.</w:t>
            </w:r>
          </w:p>
        </w:tc>
      </w:tr>
      <w:tr w:rsidR="00FF0149" w:rsidRPr="002D2A4F" w:rsidTr="003164D5">
        <w:tc>
          <w:tcPr>
            <w:tcW w:w="10170" w:type="dxa"/>
            <w:gridSpan w:val="3"/>
            <w:tcBorders>
              <w:top w:val="single" w:sz="4" w:space="0" w:color="auto"/>
              <w:left w:val="nil"/>
              <w:bottom w:val="nil"/>
              <w:right w:val="nil"/>
            </w:tcBorders>
          </w:tcPr>
          <w:p w:rsidR="00FF0149" w:rsidRPr="002D2A4F" w:rsidRDefault="00FF0149" w:rsidP="003164D5">
            <w:pPr>
              <w:jc w:val="left"/>
              <w:rPr>
                <w:rFonts w:ascii="Calibri" w:hAnsi="Calibri"/>
                <w:bCs/>
                <w:i/>
                <w:color w:val="C00000"/>
                <w:sz w:val="18"/>
                <w:szCs w:val="18"/>
              </w:rPr>
            </w:pPr>
          </w:p>
        </w:tc>
      </w:tr>
    </w:tbl>
    <w:p w:rsidR="00FF0149" w:rsidRDefault="00FF0149" w:rsidP="00FF0149"/>
    <w:p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4494"/>
        <w:gridCol w:w="5683"/>
      </w:tblGrid>
      <w:tr w:rsidR="00FF0149" w:rsidRPr="002D2A4F" w:rsidTr="003164D5">
        <w:tc>
          <w:tcPr>
            <w:tcW w:w="10177" w:type="dxa"/>
            <w:gridSpan w:val="2"/>
            <w:tcBorders>
              <w:top w:val="nil"/>
              <w:left w:val="nil"/>
              <w:bottom w:val="nil"/>
              <w:right w:val="nil"/>
            </w:tcBorders>
            <w:tcMar>
              <w:top w:w="0" w:type="dxa"/>
              <w:left w:w="108" w:type="dxa"/>
              <w:bottom w:w="0" w:type="dxa"/>
              <w:right w:w="108" w:type="dxa"/>
            </w:tcMar>
            <w:hideMark/>
          </w:tcPr>
          <w:p w:rsidR="00FF0149" w:rsidRPr="002D2A4F" w:rsidRDefault="00FF0149" w:rsidP="00EF1A5A">
            <w:pPr>
              <w:pStyle w:val="ListParagraph"/>
              <w:numPr>
                <w:ilvl w:val="0"/>
                <w:numId w:val="35"/>
              </w:numPr>
              <w:ind w:left="335"/>
              <w:rPr>
                <w:rFonts w:ascii="Calibri" w:eastAsia="MS Gothic" w:hAnsi="Calibri"/>
                <w:b/>
                <w:bCs/>
                <w:color w:val="365F91"/>
                <w:sz w:val="26"/>
                <w:szCs w:val="26"/>
              </w:rPr>
            </w:pPr>
            <w:r w:rsidRPr="005959AD">
              <w:rPr>
                <w:b/>
                <w:color w:val="244061" w:themeColor="accent1" w:themeShade="80"/>
                <w:sz w:val="28"/>
                <w:szCs w:val="28"/>
              </w:rPr>
              <w:lastRenderedPageBreak/>
              <w:t>Managing the PEFA assessment</w:t>
            </w:r>
          </w:p>
        </w:tc>
      </w:tr>
      <w:tr w:rsidR="00FF0149" w:rsidRPr="002D2A4F" w:rsidTr="003164D5">
        <w:tc>
          <w:tcPr>
            <w:tcW w:w="10177" w:type="dxa"/>
            <w:gridSpan w:val="2"/>
            <w:tcBorders>
              <w:top w:val="nil"/>
              <w:left w:val="nil"/>
              <w:bottom w:val="nil"/>
              <w:right w:val="nil"/>
            </w:tcBorders>
            <w:tcMar>
              <w:top w:w="0" w:type="dxa"/>
              <w:left w:w="108" w:type="dxa"/>
              <w:bottom w:w="0" w:type="dxa"/>
              <w:right w:w="108" w:type="dxa"/>
            </w:tcMar>
          </w:tcPr>
          <w:p w:rsidR="00FF0149" w:rsidRPr="00740CED" w:rsidRDefault="00FF0149" w:rsidP="003164D5">
            <w:pPr>
              <w:jc w:val="left"/>
              <w:rPr>
                <w:rFonts w:ascii="Calibri" w:hAnsi="Calibri"/>
                <w:bCs/>
                <w:color w:val="C00000"/>
                <w:szCs w:val="22"/>
              </w:rPr>
            </w:pPr>
            <w:r w:rsidRPr="00740CED">
              <w:rPr>
                <w:rFonts w:ascii="Calibri" w:hAnsi="Calibri"/>
                <w:bCs/>
                <w:i/>
                <w:color w:val="C00000"/>
                <w:szCs w:val="22"/>
              </w:rPr>
              <w:t xml:space="preserve">Under the subheadings below, describe the stakeholders and the extent of their involvement in overseeing the assessment. Include information on team composition, with as much detail as available on names, positions, and respective organizations’ areas of expertise. Also include information on the estimated budget. </w:t>
            </w:r>
          </w:p>
          <w:p w:rsidR="00FF0149" w:rsidRPr="00740CED" w:rsidRDefault="00FF0149" w:rsidP="003164D5">
            <w:pPr>
              <w:jc w:val="left"/>
              <w:rPr>
                <w:rFonts w:ascii="Calibri" w:hAnsi="Calibri"/>
                <w:color w:val="4BACC6" w:themeColor="accent5"/>
                <w:szCs w:val="22"/>
              </w:rPr>
            </w:pPr>
            <w:r w:rsidRPr="00740CED">
              <w:rPr>
                <w:rFonts w:ascii="Calibri" w:hAnsi="Calibri"/>
                <w:color w:val="4BACC6" w:themeColor="accent5"/>
                <w:szCs w:val="22"/>
              </w:rPr>
              <w:t>(Recommended length: no more than 500 words, plus tables.)</w:t>
            </w:r>
          </w:p>
          <w:p w:rsidR="00FF0149" w:rsidRPr="002D2A4F" w:rsidRDefault="00FF0149" w:rsidP="003164D5">
            <w:pPr>
              <w:tabs>
                <w:tab w:val="left" w:pos="1420"/>
              </w:tabs>
              <w:jc w:val="left"/>
              <w:rPr>
                <w:rFonts w:ascii="Calibri" w:hAnsi="Calibri"/>
                <w:bCs/>
                <w:i/>
                <w:color w:val="C00000"/>
                <w:szCs w:val="22"/>
              </w:rPr>
            </w:pPr>
            <w:r w:rsidRPr="002D2A4F">
              <w:rPr>
                <w:rFonts w:ascii="Calibri" w:hAnsi="Calibri"/>
                <w:bCs/>
                <w:i/>
                <w:color w:val="C00000"/>
                <w:szCs w:val="22"/>
              </w:rPr>
              <w:tab/>
            </w:r>
          </w:p>
        </w:tc>
      </w:tr>
      <w:tr w:rsidR="00FF0149" w:rsidRPr="002D2A4F" w:rsidTr="003164D5">
        <w:tc>
          <w:tcPr>
            <w:tcW w:w="10177" w:type="dxa"/>
            <w:gridSpan w:val="2"/>
            <w:tcBorders>
              <w:top w:val="nil"/>
              <w:left w:val="nil"/>
              <w:bottom w:val="single" w:sz="4" w:space="0" w:color="auto"/>
              <w:right w:val="nil"/>
            </w:tcBorders>
            <w:tcMar>
              <w:top w:w="0" w:type="dxa"/>
              <w:left w:w="108" w:type="dxa"/>
              <w:bottom w:w="0" w:type="dxa"/>
              <w:right w:w="108" w:type="dxa"/>
            </w:tcMar>
            <w:hideMark/>
          </w:tcPr>
          <w:p w:rsidR="00FF0149" w:rsidRPr="002D2A4F" w:rsidRDefault="00A7656B" w:rsidP="00A7656B">
            <w:pPr>
              <w:ind w:firstLine="425"/>
            </w:pPr>
            <w:r>
              <w:rPr>
                <w:b/>
                <w:color w:val="244061" w:themeColor="accent1" w:themeShade="80"/>
                <w:sz w:val="24"/>
              </w:rPr>
              <w:t xml:space="preserve">4.1 </w:t>
            </w:r>
            <w:r w:rsidR="00FF0149" w:rsidRPr="00A7656B">
              <w:rPr>
                <w:b/>
                <w:color w:val="244061" w:themeColor="accent1" w:themeShade="80"/>
                <w:sz w:val="24"/>
              </w:rPr>
              <w:t>Management and oversight</w:t>
            </w:r>
          </w:p>
        </w:tc>
      </w:tr>
      <w:tr w:rsidR="00FF0149" w:rsidRPr="002D2A4F" w:rsidTr="003164D5">
        <w:tc>
          <w:tcPr>
            <w:tcW w:w="10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List the stakeholders involved in the management and oversight of the assessment, and identify their roles. Stakeholders will include: </w:t>
            </w:r>
          </w:p>
          <w:p w:rsidR="00FF0149" w:rsidRPr="00113BC9" w:rsidRDefault="00FF0149" w:rsidP="003164D5">
            <w:pPr>
              <w:jc w:val="left"/>
              <w:rPr>
                <w:rFonts w:ascii="Calibri" w:hAnsi="Calibri"/>
                <w:bCs/>
                <w:i/>
                <w:color w:val="C00000"/>
                <w:szCs w:val="22"/>
              </w:rPr>
            </w:pPr>
          </w:p>
          <w:p w:rsidR="00FF0149" w:rsidRPr="00113BC9" w:rsidRDefault="00FF0149" w:rsidP="00EF1A5A">
            <w:pPr>
              <w:numPr>
                <w:ilvl w:val="0"/>
                <w:numId w:val="11"/>
              </w:numPr>
              <w:spacing w:line="256" w:lineRule="auto"/>
              <w:contextualSpacing/>
              <w:jc w:val="left"/>
              <w:rPr>
                <w:rFonts w:ascii="Calibri" w:eastAsia="Cambria" w:hAnsi="Calibri"/>
                <w:bCs/>
                <w:i/>
                <w:color w:val="C00000"/>
                <w:szCs w:val="22"/>
              </w:rPr>
            </w:pPr>
            <w:r w:rsidRPr="00113BC9">
              <w:rPr>
                <w:rFonts w:ascii="Calibri" w:eastAsia="Cambria" w:hAnsi="Calibri"/>
                <w:bCs/>
                <w:i/>
                <w:color w:val="C00000"/>
                <w:szCs w:val="22"/>
              </w:rPr>
              <w:t xml:space="preserve">The agency leading the assessment, and its team members </w:t>
            </w:r>
          </w:p>
          <w:p w:rsidR="00FF0149" w:rsidRPr="00113BC9" w:rsidRDefault="00FF0149" w:rsidP="00EF1A5A">
            <w:pPr>
              <w:numPr>
                <w:ilvl w:val="0"/>
                <w:numId w:val="11"/>
              </w:numPr>
              <w:spacing w:line="256" w:lineRule="auto"/>
              <w:contextualSpacing/>
              <w:jc w:val="left"/>
              <w:rPr>
                <w:rFonts w:ascii="Calibri" w:eastAsia="Cambria" w:hAnsi="Calibri"/>
                <w:bCs/>
                <w:i/>
                <w:color w:val="C00000"/>
                <w:szCs w:val="22"/>
              </w:rPr>
            </w:pPr>
            <w:r w:rsidRPr="00113BC9">
              <w:rPr>
                <w:rFonts w:ascii="Calibri" w:eastAsia="Cambria" w:hAnsi="Calibri"/>
                <w:bCs/>
                <w:i/>
                <w:color w:val="C00000"/>
                <w:szCs w:val="22"/>
              </w:rPr>
              <w:t xml:space="preserve">Involvement of government in the assessment </w:t>
            </w:r>
          </w:p>
          <w:p w:rsidR="00FF0149" w:rsidRPr="00113BC9" w:rsidRDefault="00FF0149" w:rsidP="00EF1A5A">
            <w:pPr>
              <w:numPr>
                <w:ilvl w:val="0"/>
                <w:numId w:val="11"/>
              </w:numPr>
              <w:spacing w:line="256" w:lineRule="auto"/>
              <w:contextualSpacing/>
              <w:jc w:val="left"/>
              <w:rPr>
                <w:rFonts w:ascii="Calibri" w:eastAsia="Cambria" w:hAnsi="Calibri"/>
                <w:bCs/>
                <w:i/>
                <w:color w:val="C00000"/>
                <w:szCs w:val="22"/>
              </w:rPr>
            </w:pPr>
            <w:r w:rsidRPr="00113BC9">
              <w:rPr>
                <w:rFonts w:ascii="Calibri" w:eastAsia="Cambria" w:hAnsi="Calibri"/>
                <w:bCs/>
                <w:i/>
                <w:color w:val="C00000"/>
                <w:szCs w:val="22"/>
              </w:rPr>
              <w:t>Development partners and their representatives or agents</w:t>
            </w:r>
          </w:p>
          <w:p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Complete table 3 for the management and oversight team.</w:t>
            </w:r>
          </w:p>
          <w:p w:rsidR="00FF0149" w:rsidRPr="00113BC9" w:rsidRDefault="00FF0149" w:rsidP="003164D5">
            <w:pPr>
              <w:jc w:val="left"/>
              <w:rPr>
                <w:rFonts w:ascii="Calibri" w:hAnsi="Calibri"/>
                <w:bCs/>
                <w:i/>
                <w:color w:val="C00000"/>
                <w:szCs w:val="22"/>
              </w:rPr>
            </w:pPr>
          </w:p>
          <w:p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Identify other stakeholders involved in management and oversight, such as the supreme audit institution, legislature, anticorruption agency, independent procurement agency, chamber of commerce, and civil society organizations.</w:t>
            </w: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Pr="002D2A4F" w:rsidRDefault="00FF0149" w:rsidP="003164D5">
            <w:pPr>
              <w:jc w:val="left"/>
              <w:rPr>
                <w:rFonts w:ascii="Calibri" w:hAnsi="Calibri"/>
                <w:bCs/>
                <w:i/>
                <w:color w:val="C00000"/>
                <w:szCs w:val="22"/>
              </w:rPr>
            </w:pPr>
          </w:p>
        </w:tc>
      </w:tr>
      <w:tr w:rsidR="00FF0149" w:rsidRPr="002D2A4F" w:rsidTr="003164D5">
        <w:tc>
          <w:tcPr>
            <w:tcW w:w="10177" w:type="dxa"/>
            <w:gridSpan w:val="2"/>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bCs/>
                <w:i/>
                <w:color w:val="C00000"/>
                <w:szCs w:val="22"/>
              </w:rPr>
            </w:pPr>
          </w:p>
        </w:tc>
      </w:tr>
      <w:tr w:rsidR="00FF0149" w:rsidRPr="002D2A4F" w:rsidTr="003164D5">
        <w:tc>
          <w:tcPr>
            <w:tcW w:w="10177" w:type="dxa"/>
            <w:gridSpan w:val="2"/>
            <w:tcBorders>
              <w:top w:val="nil"/>
              <w:left w:val="nil"/>
              <w:bottom w:val="single" w:sz="4" w:space="0" w:color="auto"/>
              <w:right w:val="nil"/>
            </w:tcBorders>
            <w:shd w:val="clear" w:color="auto" w:fill="FFFFFF"/>
            <w:tcMar>
              <w:top w:w="0" w:type="dxa"/>
              <w:left w:w="108" w:type="dxa"/>
              <w:bottom w:w="0" w:type="dxa"/>
              <w:right w:w="108" w:type="dxa"/>
            </w:tcMar>
            <w:hideMark/>
          </w:tcPr>
          <w:p w:rsidR="00FF0149" w:rsidRPr="002D2A4F" w:rsidRDefault="00FF0149" w:rsidP="003164D5">
            <w:pPr>
              <w:jc w:val="left"/>
              <w:rPr>
                <w:rFonts w:ascii="Calibri" w:hAnsi="Calibri"/>
                <w:b/>
                <w:szCs w:val="22"/>
              </w:rPr>
            </w:pPr>
            <w:r w:rsidRPr="002D2A4F">
              <w:rPr>
                <w:rFonts w:ascii="Calibri" w:hAnsi="Calibri"/>
                <w:b/>
                <w:szCs w:val="22"/>
              </w:rPr>
              <w:t>Table 3. Management and oversight team</w:t>
            </w:r>
          </w:p>
        </w:tc>
      </w:tr>
      <w:tr w:rsidR="00FF0149" w:rsidRPr="002D2A4F" w:rsidTr="003164D5">
        <w:trPr>
          <w:trHeight w:val="198"/>
        </w:trPr>
        <w:tc>
          <w:tcPr>
            <w:tcW w:w="449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left"/>
              <w:rPr>
                <w:rFonts w:ascii="Calibri" w:hAnsi="Calibri"/>
                <w:b/>
                <w:sz w:val="18"/>
                <w:szCs w:val="18"/>
              </w:rPr>
            </w:pPr>
            <w:r w:rsidRPr="002D2A4F">
              <w:rPr>
                <w:rFonts w:ascii="Calibri" w:hAnsi="Calibri"/>
                <w:b/>
                <w:sz w:val="18"/>
                <w:szCs w:val="18"/>
              </w:rPr>
              <w:t xml:space="preserve">Organization name </w:t>
            </w:r>
          </w:p>
        </w:tc>
        <w:tc>
          <w:tcPr>
            <w:tcW w:w="5683"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left"/>
              <w:rPr>
                <w:rFonts w:ascii="Calibri" w:hAnsi="Calibri"/>
                <w:b/>
                <w:sz w:val="18"/>
                <w:szCs w:val="18"/>
              </w:rPr>
            </w:pPr>
            <w:r w:rsidRPr="002D2A4F">
              <w:rPr>
                <w:rFonts w:ascii="Calibri" w:hAnsi="Calibri"/>
                <w:b/>
                <w:sz w:val="18"/>
                <w:szCs w:val="18"/>
              </w:rPr>
              <w:t>Team member details</w:t>
            </w:r>
          </w:p>
        </w:tc>
      </w:tr>
      <w:tr w:rsidR="00FF0149" w:rsidRPr="002D2A4F"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tabs>
                <w:tab w:val="left" w:pos="1347"/>
              </w:tabs>
              <w:jc w:val="left"/>
              <w:rPr>
                <w:rFonts w:ascii="Calibri" w:hAnsi="Calibri"/>
                <w:color w:val="C00000"/>
                <w:sz w:val="18"/>
                <w:szCs w:val="18"/>
              </w:rPr>
            </w:pPr>
            <w:r w:rsidRPr="002D2A4F">
              <w:rPr>
                <w:rFonts w:ascii="Calibri" w:hAnsi="Calibri"/>
                <w:color w:val="C00000"/>
                <w:sz w:val="18"/>
                <w:szCs w:val="18"/>
              </w:rPr>
              <w:t>Government representative 1 (chair)</w:t>
            </w:r>
            <w:r w:rsidRPr="002D2A4F">
              <w:rPr>
                <w:rFonts w:ascii="Calibri" w:hAnsi="Calibri"/>
                <w:color w:val="C00000"/>
                <w:sz w:val="18"/>
                <w:szCs w:val="18"/>
              </w:rPr>
              <w:tab/>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Government representative 2 </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Development partner 1</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Development partner 2, etc.</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 of representative</w:t>
            </w:r>
          </w:p>
        </w:tc>
      </w:tr>
      <w:tr w:rsidR="00FF0149" w:rsidRPr="002D2A4F"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Other</w:t>
            </w: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Name and position</w:t>
            </w:r>
          </w:p>
        </w:tc>
      </w:tr>
      <w:tr w:rsidR="00FF0149" w:rsidRPr="002D2A4F" w:rsidTr="003164D5">
        <w:trPr>
          <w:trHeight w:val="197"/>
        </w:trPr>
        <w:tc>
          <w:tcPr>
            <w:tcW w:w="4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2D2A4F" w:rsidRDefault="00FF0149" w:rsidP="003164D5">
            <w:pPr>
              <w:jc w:val="left"/>
              <w:rPr>
                <w:rFonts w:ascii="Calibri" w:hAnsi="Calibri"/>
                <w:color w:val="C00000"/>
                <w:sz w:val="18"/>
                <w:szCs w:val="18"/>
              </w:rPr>
            </w:pPr>
          </w:p>
        </w:tc>
        <w:tc>
          <w:tcPr>
            <w:tcW w:w="5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2D2A4F" w:rsidRDefault="00FF0149" w:rsidP="003164D5">
            <w:pPr>
              <w:jc w:val="left"/>
              <w:rPr>
                <w:rFonts w:ascii="Calibri" w:hAnsi="Calibri"/>
                <w:color w:val="C00000"/>
                <w:sz w:val="18"/>
                <w:szCs w:val="18"/>
              </w:rPr>
            </w:pPr>
          </w:p>
        </w:tc>
      </w:tr>
      <w:tr w:rsidR="00FF0149" w:rsidRPr="002D2A4F" w:rsidTr="003164D5">
        <w:trPr>
          <w:trHeight w:val="197"/>
        </w:trPr>
        <w:tc>
          <w:tcPr>
            <w:tcW w:w="10177" w:type="dxa"/>
            <w:gridSpan w:val="2"/>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bCs/>
                <w:i/>
                <w:color w:val="C00000"/>
                <w:szCs w:val="22"/>
              </w:rPr>
            </w:pPr>
          </w:p>
        </w:tc>
      </w:tr>
    </w:tbl>
    <w:p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809"/>
        <w:gridCol w:w="1521"/>
        <w:gridCol w:w="2250"/>
        <w:gridCol w:w="1170"/>
        <w:gridCol w:w="1013"/>
        <w:gridCol w:w="2414"/>
      </w:tblGrid>
      <w:tr w:rsidR="00FF0149" w:rsidRPr="002D2A4F" w:rsidTr="003164D5">
        <w:trPr>
          <w:trHeight w:val="197"/>
        </w:trPr>
        <w:tc>
          <w:tcPr>
            <w:tcW w:w="10177" w:type="dxa"/>
            <w:gridSpan w:val="6"/>
            <w:tcBorders>
              <w:top w:val="nil"/>
              <w:left w:val="nil"/>
              <w:bottom w:val="single" w:sz="4" w:space="0" w:color="auto"/>
              <w:right w:val="nil"/>
            </w:tcBorders>
            <w:tcMar>
              <w:top w:w="0" w:type="dxa"/>
              <w:left w:w="108" w:type="dxa"/>
              <w:bottom w:w="0" w:type="dxa"/>
              <w:right w:w="108" w:type="dxa"/>
            </w:tcMar>
            <w:hideMark/>
          </w:tcPr>
          <w:p w:rsidR="00FF0149" w:rsidRPr="002D2A4F" w:rsidRDefault="00A7656B" w:rsidP="00A7656B">
            <w:pPr>
              <w:ind w:firstLine="425"/>
              <w:rPr>
                <w:color w:val="215868"/>
                <w:sz w:val="18"/>
                <w:szCs w:val="18"/>
              </w:rPr>
            </w:pPr>
            <w:r>
              <w:rPr>
                <w:b/>
                <w:color w:val="244061" w:themeColor="accent1" w:themeShade="80"/>
                <w:sz w:val="24"/>
              </w:rPr>
              <w:lastRenderedPageBreak/>
              <w:t xml:space="preserve">4.2 </w:t>
            </w:r>
            <w:r w:rsidR="00FF0149" w:rsidRPr="00A7656B">
              <w:rPr>
                <w:b/>
                <w:color w:val="244061" w:themeColor="accent1" w:themeShade="80"/>
                <w:sz w:val="24"/>
              </w:rPr>
              <w:t>Assessment team: composition and inputs</w:t>
            </w:r>
            <w:r w:rsidR="00FF0149" w:rsidRPr="002D2A4F">
              <w:t xml:space="preserve"> </w:t>
            </w:r>
          </w:p>
        </w:tc>
      </w:tr>
      <w:tr w:rsidR="00FF0149" w:rsidRPr="002D2A4F" w:rsidTr="003164D5">
        <w:trPr>
          <w:trHeight w:val="197"/>
        </w:trPr>
        <w:tc>
          <w:tcPr>
            <w:tcW w:w="1017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Describe the staff and consultants proposed for the assessment team, i.e. the team that will be performing the assessment, as well as the relevant areas of expertise required, including technical skills, languages, and local knowledge. Explain how the assessment team will be managed, and its relationship to the assessment management and oversight team. </w:t>
            </w:r>
          </w:p>
          <w:p w:rsidR="00FF0149" w:rsidRPr="00113BC9" w:rsidRDefault="00FF0149" w:rsidP="003164D5">
            <w:pPr>
              <w:jc w:val="center"/>
              <w:rPr>
                <w:rFonts w:ascii="Calibri" w:hAnsi="Calibri"/>
                <w:bCs/>
                <w:i/>
                <w:color w:val="C00000"/>
                <w:szCs w:val="22"/>
              </w:rPr>
            </w:pPr>
          </w:p>
          <w:p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Complete table 4, which summarizes inputs from the assessment team.</w:t>
            </w:r>
          </w:p>
          <w:p w:rsidR="00FF0149" w:rsidRPr="00740CED" w:rsidRDefault="00FF0149" w:rsidP="003164D5">
            <w:pPr>
              <w:jc w:val="left"/>
              <w:rPr>
                <w:rFonts w:ascii="Calibri" w:hAnsi="Calibri"/>
                <w:bCs/>
                <w:color w:val="C00000"/>
                <w:szCs w:val="22"/>
              </w:rPr>
            </w:pPr>
          </w:p>
          <w:p w:rsidR="00FF0149" w:rsidRPr="00740CED"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Pr="00740CED" w:rsidRDefault="00FF0149" w:rsidP="003164D5">
            <w:pPr>
              <w:jc w:val="left"/>
              <w:rPr>
                <w:rFonts w:ascii="Calibri" w:hAnsi="Calibri"/>
                <w:bCs/>
                <w:color w:val="C00000"/>
                <w:szCs w:val="22"/>
              </w:rPr>
            </w:pPr>
          </w:p>
          <w:p w:rsidR="00FF0149" w:rsidRPr="00740CED"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Default="00FF0149" w:rsidP="003164D5">
            <w:pPr>
              <w:jc w:val="left"/>
              <w:rPr>
                <w:rFonts w:ascii="Calibri" w:hAnsi="Calibri"/>
                <w:bCs/>
                <w:color w:val="C00000"/>
                <w:szCs w:val="22"/>
              </w:rPr>
            </w:pPr>
          </w:p>
          <w:p w:rsidR="00FF0149" w:rsidRPr="00740CED" w:rsidRDefault="00FF0149" w:rsidP="003164D5">
            <w:pPr>
              <w:jc w:val="left"/>
              <w:rPr>
                <w:rFonts w:ascii="Calibri" w:hAnsi="Calibri"/>
                <w:bCs/>
                <w:color w:val="C00000"/>
                <w:szCs w:val="22"/>
              </w:rPr>
            </w:pPr>
          </w:p>
          <w:p w:rsidR="00FF0149" w:rsidRPr="002D2A4F" w:rsidRDefault="00FF0149" w:rsidP="003164D5">
            <w:pPr>
              <w:jc w:val="left"/>
              <w:rPr>
                <w:rFonts w:ascii="Calibri" w:hAnsi="Calibri"/>
                <w:bCs/>
                <w:i/>
                <w:color w:val="C00000"/>
                <w:szCs w:val="22"/>
              </w:rPr>
            </w:pPr>
          </w:p>
        </w:tc>
      </w:tr>
      <w:tr w:rsidR="00FF0149" w:rsidRPr="002D2A4F" w:rsidTr="003164D5">
        <w:trPr>
          <w:trHeight w:val="197"/>
        </w:trPr>
        <w:tc>
          <w:tcPr>
            <w:tcW w:w="10177" w:type="dxa"/>
            <w:gridSpan w:val="6"/>
            <w:tcBorders>
              <w:top w:val="single" w:sz="4" w:space="0" w:color="auto"/>
              <w:left w:val="nil"/>
              <w:bottom w:val="single" w:sz="4" w:space="0" w:color="auto"/>
              <w:right w:val="nil"/>
            </w:tcBorders>
            <w:shd w:val="clear" w:color="auto" w:fill="FFFFFF"/>
            <w:tcMar>
              <w:top w:w="0" w:type="dxa"/>
              <w:left w:w="108" w:type="dxa"/>
              <w:bottom w:w="0" w:type="dxa"/>
              <w:right w:w="108" w:type="dxa"/>
            </w:tcMar>
          </w:tcPr>
          <w:p w:rsidR="00FF0149" w:rsidRPr="002D2A4F" w:rsidRDefault="00FF0149" w:rsidP="003164D5">
            <w:pPr>
              <w:jc w:val="left"/>
              <w:rPr>
                <w:rFonts w:ascii="Calibri" w:hAnsi="Calibri"/>
                <w:b/>
                <w:szCs w:val="22"/>
              </w:rPr>
            </w:pPr>
          </w:p>
          <w:p w:rsidR="00FF0149" w:rsidRPr="002D2A4F" w:rsidRDefault="00FF0149" w:rsidP="003164D5">
            <w:pPr>
              <w:jc w:val="left"/>
              <w:rPr>
                <w:rFonts w:ascii="Calibri" w:hAnsi="Calibri"/>
                <w:bCs/>
                <w:i/>
                <w:color w:val="C00000"/>
                <w:szCs w:val="22"/>
              </w:rPr>
            </w:pPr>
            <w:r w:rsidRPr="002D2A4F">
              <w:rPr>
                <w:rFonts w:ascii="Calibri" w:hAnsi="Calibri"/>
                <w:b/>
                <w:szCs w:val="22"/>
              </w:rPr>
              <w:t>Table 4. Assessment team’s input to the PEFA assessment</w:t>
            </w:r>
          </w:p>
        </w:tc>
      </w:tr>
      <w:tr w:rsidR="00FF0149" w:rsidRPr="002D2A4F" w:rsidTr="003164D5">
        <w:trPr>
          <w:trHeight w:val="33"/>
        </w:trPr>
        <w:tc>
          <w:tcPr>
            <w:tcW w:w="1809"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rFonts w:ascii="Calibri" w:hAnsi="Calibri"/>
                <w:b/>
                <w:sz w:val="18"/>
                <w:szCs w:val="18"/>
              </w:rPr>
            </w:pPr>
            <w:r w:rsidRPr="002D2A4F">
              <w:rPr>
                <w:rFonts w:ascii="Calibri" w:hAnsi="Calibri"/>
                <w:b/>
                <w:sz w:val="18"/>
                <w:szCs w:val="18"/>
              </w:rPr>
              <w:t>Team member</w:t>
            </w:r>
          </w:p>
        </w:tc>
        <w:tc>
          <w:tcPr>
            <w:tcW w:w="1521"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rFonts w:ascii="Calibri" w:hAnsi="Calibri"/>
                <w:b/>
                <w:sz w:val="18"/>
                <w:szCs w:val="18"/>
              </w:rPr>
            </w:pPr>
            <w:r w:rsidRPr="002D2A4F">
              <w:rPr>
                <w:rFonts w:ascii="Calibri" w:hAnsi="Calibri"/>
                <w:b/>
                <w:sz w:val="18"/>
                <w:szCs w:val="18"/>
              </w:rPr>
              <w:t>Organization</w:t>
            </w:r>
          </w:p>
        </w:tc>
        <w:tc>
          <w:tcPr>
            <w:tcW w:w="22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rFonts w:ascii="Calibri" w:hAnsi="Calibri"/>
                <w:b/>
                <w:sz w:val="18"/>
                <w:szCs w:val="18"/>
              </w:rPr>
            </w:pPr>
            <w:r w:rsidRPr="002D2A4F">
              <w:rPr>
                <w:rFonts w:ascii="Calibri" w:hAnsi="Calibri"/>
                <w:b/>
                <w:sz w:val="18"/>
                <w:szCs w:val="18"/>
              </w:rPr>
              <w:t>Area of expertise</w:t>
            </w:r>
          </w:p>
        </w:tc>
        <w:tc>
          <w:tcPr>
            <w:tcW w:w="117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rFonts w:ascii="Calibri" w:hAnsi="Calibri"/>
                <w:b/>
                <w:sz w:val="18"/>
                <w:szCs w:val="18"/>
              </w:rPr>
            </w:pPr>
            <w:r w:rsidRPr="002D2A4F">
              <w:rPr>
                <w:rFonts w:ascii="Calibri" w:hAnsi="Calibri"/>
                <w:b/>
                <w:sz w:val="18"/>
                <w:szCs w:val="18"/>
              </w:rPr>
              <w:t>Preparatory work (no. of days)</w:t>
            </w:r>
          </w:p>
        </w:tc>
        <w:tc>
          <w:tcPr>
            <w:tcW w:w="1013"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rFonts w:ascii="Calibri" w:hAnsi="Calibri"/>
                <w:b/>
                <w:sz w:val="18"/>
                <w:szCs w:val="18"/>
              </w:rPr>
            </w:pPr>
            <w:r w:rsidRPr="002D2A4F">
              <w:rPr>
                <w:rFonts w:ascii="Calibri" w:hAnsi="Calibri"/>
                <w:b/>
                <w:sz w:val="18"/>
                <w:szCs w:val="18"/>
              </w:rPr>
              <w:t>Field work</w:t>
            </w:r>
          </w:p>
          <w:p w:rsidR="00FF0149" w:rsidRPr="002D2A4F" w:rsidRDefault="00FF0149" w:rsidP="003164D5">
            <w:pPr>
              <w:jc w:val="center"/>
              <w:rPr>
                <w:rFonts w:ascii="Calibri" w:hAnsi="Calibri"/>
                <w:b/>
                <w:sz w:val="18"/>
                <w:szCs w:val="18"/>
              </w:rPr>
            </w:pPr>
            <w:r w:rsidRPr="002D2A4F">
              <w:rPr>
                <w:rFonts w:ascii="Calibri" w:hAnsi="Calibri"/>
                <w:b/>
                <w:sz w:val="18"/>
                <w:szCs w:val="18"/>
              </w:rPr>
              <w:t>(no. of days)</w:t>
            </w:r>
          </w:p>
        </w:tc>
        <w:tc>
          <w:tcPr>
            <w:tcW w:w="241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rFonts w:ascii="Calibri" w:hAnsi="Calibri"/>
                <w:b/>
                <w:sz w:val="18"/>
                <w:szCs w:val="18"/>
              </w:rPr>
            </w:pPr>
            <w:r w:rsidRPr="002D2A4F">
              <w:rPr>
                <w:rFonts w:ascii="Calibri" w:hAnsi="Calibri"/>
                <w:b/>
                <w:sz w:val="18"/>
                <w:szCs w:val="18"/>
              </w:rPr>
              <w:t>Post</w:t>
            </w:r>
            <w:r w:rsidRPr="002D2A4F">
              <w:rPr>
                <w:rFonts w:ascii="Calibri" w:hAnsi="Calibri"/>
                <w:b/>
                <w:sz w:val="18"/>
                <w:szCs w:val="18"/>
              </w:rPr>
              <w:softHyphen/>
              <w:t>–field work (no. of days)</w:t>
            </w:r>
          </w:p>
        </w:tc>
      </w:tr>
      <w:tr w:rsidR="00FF0149" w:rsidRPr="002D2A4F"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sz w:val="18"/>
                <w:szCs w:val="18"/>
              </w:rPr>
            </w:pPr>
            <w:r w:rsidRPr="002D2A4F">
              <w:rPr>
                <w:rFonts w:ascii="Calibri" w:hAnsi="Calibri"/>
                <w:sz w:val="18"/>
                <w:szCs w:val="18"/>
              </w:rPr>
              <w:t xml:space="preserve">Team leader: </w:t>
            </w:r>
          </w:p>
          <w:p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Consultants Ltd.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Example: </w:t>
            </w:r>
          </w:p>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Fiscal strategy and budgeting</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10</w:t>
            </w: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25</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Example:</w:t>
            </w:r>
          </w:p>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30</w:t>
            </w:r>
          </w:p>
        </w:tc>
      </w:tr>
      <w:tr w:rsidR="00FF0149" w:rsidRPr="002D2A4F"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sz w:val="18"/>
                <w:szCs w:val="18"/>
              </w:rPr>
            </w:pPr>
            <w:r w:rsidRPr="002D2A4F">
              <w:rPr>
                <w:rFonts w:ascii="Calibri" w:hAnsi="Calibri"/>
                <w:sz w:val="18"/>
                <w:szCs w:val="18"/>
              </w:rPr>
              <w:t>Expert 1:</w:t>
            </w:r>
          </w:p>
          <w:p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r w:rsidRPr="002D2A4F">
              <w:rPr>
                <w:rFonts w:ascii="Calibri" w:hAnsi="Calibri"/>
                <w:color w:val="215868"/>
                <w:sz w:val="18"/>
                <w:szCs w:val="18"/>
              </w:rPr>
              <w:t>)</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Pefalia Revenue Administration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Revenue management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r>
      <w:tr w:rsidR="00FF0149" w:rsidRPr="002D2A4F"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sz w:val="18"/>
                <w:szCs w:val="18"/>
              </w:rPr>
            </w:pPr>
            <w:r w:rsidRPr="002D2A4F">
              <w:rPr>
                <w:rFonts w:ascii="Calibri" w:hAnsi="Calibri"/>
                <w:sz w:val="18"/>
                <w:szCs w:val="18"/>
              </w:rPr>
              <w:t>Expert 2:</w:t>
            </w:r>
          </w:p>
          <w:p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Pefalia Ministry of Finance</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Expenditure management and reporting</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5</w:t>
            </w: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20</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10</w:t>
            </w:r>
          </w:p>
        </w:tc>
      </w:tr>
      <w:tr w:rsidR="00FF0149" w:rsidRPr="002D2A4F" w:rsidTr="003164D5">
        <w:trPr>
          <w:trHeight w:val="31"/>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sz w:val="18"/>
                <w:szCs w:val="18"/>
              </w:rPr>
            </w:pPr>
            <w:r w:rsidRPr="002D2A4F">
              <w:rPr>
                <w:rFonts w:ascii="Calibri" w:hAnsi="Calibri"/>
                <w:sz w:val="18"/>
                <w:szCs w:val="18"/>
              </w:rPr>
              <w:t>Expert 3:</w:t>
            </w:r>
          </w:p>
          <w:p w:rsidR="00FF0149" w:rsidRPr="002D2A4F" w:rsidRDefault="00FF0149" w:rsidP="003164D5">
            <w:pPr>
              <w:jc w:val="left"/>
              <w:rPr>
                <w:rFonts w:ascii="Calibri" w:hAnsi="Calibri"/>
                <w:sz w:val="18"/>
                <w:szCs w:val="18"/>
              </w:rPr>
            </w:pPr>
            <w:r w:rsidRPr="002D2A4F">
              <w:rPr>
                <w:rFonts w:ascii="Calibri" w:hAnsi="Calibri"/>
                <w:color w:val="C00000"/>
                <w:sz w:val="18"/>
                <w:szCs w:val="18"/>
              </w:rPr>
              <w:t>Name (where known)</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Consultants Ltd.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Public sector audit and financial control</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3</w:t>
            </w:r>
          </w:p>
        </w:tc>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5</w:t>
            </w:r>
          </w:p>
        </w:tc>
        <w:tc>
          <w:tcPr>
            <w:tcW w:w="24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5</w:t>
            </w:r>
          </w:p>
        </w:tc>
      </w:tr>
      <w:tr w:rsidR="00FF0149" w:rsidRPr="002D2A4F" w:rsidTr="003164D5">
        <w:trPr>
          <w:trHeight w:val="31"/>
        </w:trPr>
        <w:tc>
          <w:tcPr>
            <w:tcW w:w="1809" w:type="dxa"/>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sz w:val="18"/>
                <w:szCs w:val="18"/>
              </w:rPr>
            </w:pPr>
          </w:p>
        </w:tc>
        <w:tc>
          <w:tcPr>
            <w:tcW w:w="1521" w:type="dxa"/>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color w:val="C00000"/>
                <w:sz w:val="18"/>
                <w:szCs w:val="18"/>
              </w:rPr>
            </w:pPr>
          </w:p>
        </w:tc>
        <w:tc>
          <w:tcPr>
            <w:tcW w:w="2250" w:type="dxa"/>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color w:val="C00000"/>
                <w:sz w:val="18"/>
                <w:szCs w:val="18"/>
              </w:rPr>
            </w:pPr>
          </w:p>
        </w:tc>
        <w:tc>
          <w:tcPr>
            <w:tcW w:w="1170" w:type="dxa"/>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color w:val="C00000"/>
                <w:sz w:val="18"/>
                <w:szCs w:val="18"/>
              </w:rPr>
            </w:pPr>
          </w:p>
        </w:tc>
        <w:tc>
          <w:tcPr>
            <w:tcW w:w="1013" w:type="dxa"/>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color w:val="C00000"/>
                <w:sz w:val="18"/>
                <w:szCs w:val="18"/>
              </w:rPr>
            </w:pPr>
          </w:p>
        </w:tc>
        <w:tc>
          <w:tcPr>
            <w:tcW w:w="2414" w:type="dxa"/>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color w:val="C00000"/>
                <w:sz w:val="18"/>
                <w:szCs w:val="18"/>
              </w:rPr>
            </w:pPr>
          </w:p>
        </w:tc>
      </w:tr>
    </w:tbl>
    <w:p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7747"/>
        <w:gridCol w:w="2430"/>
      </w:tblGrid>
      <w:tr w:rsidR="00FF0149" w:rsidRPr="002D2A4F" w:rsidTr="003164D5">
        <w:trPr>
          <w:trHeight w:val="31"/>
        </w:trPr>
        <w:tc>
          <w:tcPr>
            <w:tcW w:w="10177" w:type="dxa"/>
            <w:gridSpan w:val="2"/>
            <w:tcBorders>
              <w:top w:val="nil"/>
              <w:left w:val="nil"/>
              <w:bottom w:val="single" w:sz="4" w:space="0" w:color="auto"/>
              <w:right w:val="nil"/>
            </w:tcBorders>
            <w:tcMar>
              <w:top w:w="0" w:type="dxa"/>
              <w:left w:w="108" w:type="dxa"/>
              <w:bottom w:w="0" w:type="dxa"/>
              <w:right w:w="108" w:type="dxa"/>
            </w:tcMar>
            <w:hideMark/>
          </w:tcPr>
          <w:p w:rsidR="00FF0149" w:rsidRPr="002D2A4F" w:rsidRDefault="00A7656B" w:rsidP="00A7656B">
            <w:pPr>
              <w:ind w:firstLine="425"/>
              <w:rPr>
                <w:color w:val="C00000"/>
                <w:sz w:val="18"/>
                <w:szCs w:val="18"/>
              </w:rPr>
            </w:pPr>
            <w:r>
              <w:rPr>
                <w:b/>
                <w:color w:val="244061" w:themeColor="accent1" w:themeShade="80"/>
                <w:sz w:val="24"/>
              </w:rPr>
              <w:lastRenderedPageBreak/>
              <w:t xml:space="preserve">4.3 </w:t>
            </w:r>
            <w:r w:rsidR="00FF0149" w:rsidRPr="00A7656B">
              <w:rPr>
                <w:b/>
                <w:color w:val="244061" w:themeColor="accent1" w:themeShade="80"/>
                <w:sz w:val="24"/>
              </w:rPr>
              <w:t>Resources</w:t>
            </w:r>
          </w:p>
        </w:tc>
      </w:tr>
      <w:tr w:rsidR="00FF0149" w:rsidRPr="002D2A4F" w:rsidTr="003164D5">
        <w:trPr>
          <w:trHeight w:val="31"/>
        </w:trPr>
        <w:tc>
          <w:tcPr>
            <w:tcW w:w="101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Specify the budget and funding arrangements. Information will include the number of assessors; person-days; and costs of travel and related expenses, translation and interpretation, and printing and copying, etc. Expenses may be separated by source of funds or participating entity.</w:t>
            </w:r>
          </w:p>
          <w:p w:rsidR="00FF0149" w:rsidRPr="00113BC9" w:rsidRDefault="00FF0149" w:rsidP="003164D5">
            <w:pPr>
              <w:jc w:val="left"/>
              <w:rPr>
                <w:rFonts w:ascii="Calibri" w:hAnsi="Calibri"/>
                <w:bCs/>
                <w:i/>
                <w:color w:val="C00000"/>
                <w:szCs w:val="22"/>
              </w:rPr>
            </w:pPr>
          </w:p>
          <w:p w:rsidR="00FF0149" w:rsidRPr="00113BC9" w:rsidRDefault="00FF0149" w:rsidP="003164D5">
            <w:pPr>
              <w:jc w:val="left"/>
              <w:rPr>
                <w:rFonts w:ascii="Calibri" w:hAnsi="Calibri"/>
                <w:bCs/>
                <w:i/>
                <w:color w:val="C00000"/>
                <w:szCs w:val="22"/>
              </w:rPr>
            </w:pPr>
            <w:r w:rsidRPr="00113BC9">
              <w:rPr>
                <w:rFonts w:ascii="Calibri" w:hAnsi="Calibri"/>
                <w:bCs/>
                <w:i/>
                <w:color w:val="C00000"/>
                <w:szCs w:val="22"/>
              </w:rPr>
              <w:t xml:space="preserve">Complete table 5 with detailed information on the estimated resources by category. If the terms of reference are being prepared as the basis of a request for proposal (RFP) for contract assessors, this table may be circulated to appropriate stakeholders as a separate document. </w:t>
            </w:r>
          </w:p>
          <w:p w:rsidR="00FF0149" w:rsidRPr="00740CED"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Pr="00740CED" w:rsidRDefault="00FF0149" w:rsidP="003164D5">
            <w:pPr>
              <w:jc w:val="left"/>
              <w:rPr>
                <w:rFonts w:ascii="Calibri" w:hAnsi="Calibri"/>
                <w:bCs/>
                <w:i/>
                <w:color w:val="C00000"/>
                <w:szCs w:val="22"/>
              </w:rPr>
            </w:pPr>
          </w:p>
          <w:p w:rsidR="00FF0149" w:rsidRPr="002D2A4F" w:rsidRDefault="00FF0149" w:rsidP="003164D5">
            <w:pPr>
              <w:jc w:val="left"/>
              <w:rPr>
                <w:rFonts w:ascii="Calibri" w:hAnsi="Calibri"/>
                <w:bCs/>
                <w:i/>
                <w:color w:val="C00000"/>
                <w:szCs w:val="22"/>
              </w:rPr>
            </w:pPr>
          </w:p>
        </w:tc>
      </w:tr>
      <w:tr w:rsidR="00FF0149" w:rsidRPr="002D2A4F" w:rsidTr="003164D5">
        <w:trPr>
          <w:trHeight w:val="31"/>
        </w:trPr>
        <w:tc>
          <w:tcPr>
            <w:tcW w:w="10177" w:type="dxa"/>
            <w:gridSpan w:val="2"/>
            <w:tcBorders>
              <w:top w:val="single" w:sz="4" w:space="0" w:color="auto"/>
              <w:left w:val="nil"/>
              <w:bottom w:val="nil"/>
              <w:right w:val="nil"/>
            </w:tcBorders>
            <w:tcMar>
              <w:top w:w="0" w:type="dxa"/>
              <w:left w:w="108" w:type="dxa"/>
              <w:bottom w:w="0" w:type="dxa"/>
              <w:right w:w="108" w:type="dxa"/>
            </w:tcMar>
          </w:tcPr>
          <w:p w:rsidR="00FF0149" w:rsidRDefault="00FF0149" w:rsidP="003164D5">
            <w:pPr>
              <w:jc w:val="left"/>
              <w:rPr>
                <w:rFonts w:ascii="Calibri" w:hAnsi="Calibri"/>
                <w:b/>
                <w:szCs w:val="22"/>
              </w:rPr>
            </w:pPr>
          </w:p>
        </w:tc>
      </w:tr>
      <w:tr w:rsidR="00FF0149" w:rsidRPr="002D2A4F" w:rsidTr="003164D5">
        <w:trPr>
          <w:trHeight w:val="31"/>
        </w:trPr>
        <w:tc>
          <w:tcPr>
            <w:tcW w:w="10177" w:type="dxa"/>
            <w:gridSpan w:val="2"/>
            <w:tcBorders>
              <w:top w:val="nil"/>
              <w:left w:val="nil"/>
              <w:bottom w:val="single" w:sz="4" w:space="0" w:color="auto"/>
              <w:right w:val="nil"/>
            </w:tcBorders>
            <w:tcMar>
              <w:top w:w="0" w:type="dxa"/>
              <w:left w:w="108" w:type="dxa"/>
              <w:bottom w:w="0" w:type="dxa"/>
              <w:right w:w="108" w:type="dxa"/>
            </w:tcMar>
          </w:tcPr>
          <w:p w:rsidR="00FF0149" w:rsidRPr="002D2A4F" w:rsidRDefault="00FF0149" w:rsidP="003164D5">
            <w:pPr>
              <w:jc w:val="left"/>
              <w:rPr>
                <w:rFonts w:ascii="Calibri" w:hAnsi="Calibri"/>
                <w:b/>
                <w:szCs w:val="22"/>
              </w:rPr>
            </w:pPr>
          </w:p>
          <w:p w:rsidR="00FF0149" w:rsidRPr="002D2A4F" w:rsidRDefault="00FF0149" w:rsidP="003164D5">
            <w:pPr>
              <w:jc w:val="left"/>
              <w:rPr>
                <w:rFonts w:ascii="Calibri" w:hAnsi="Calibri"/>
                <w:bCs/>
                <w:i/>
                <w:color w:val="C00000"/>
                <w:szCs w:val="22"/>
              </w:rPr>
            </w:pPr>
            <w:r w:rsidRPr="002D2A4F">
              <w:rPr>
                <w:rFonts w:ascii="Calibri" w:hAnsi="Calibri"/>
                <w:b/>
                <w:szCs w:val="22"/>
              </w:rPr>
              <w:t>Table 5. Resources required for PEFA assessment</w:t>
            </w: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b/>
                <w:sz w:val="18"/>
                <w:szCs w:val="18"/>
              </w:rPr>
            </w:pPr>
            <w:r w:rsidRPr="002D2A4F">
              <w:rPr>
                <w:b/>
                <w:sz w:val="18"/>
                <w:szCs w:val="18"/>
              </w:rPr>
              <w:t>Budget item</w:t>
            </w:r>
          </w:p>
        </w:tc>
        <w:tc>
          <w:tcPr>
            <w:tcW w:w="243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b/>
                <w:sz w:val="18"/>
                <w:szCs w:val="18"/>
              </w:rPr>
            </w:pPr>
            <w:r w:rsidRPr="002D2A4F">
              <w:rPr>
                <w:b/>
                <w:sz w:val="18"/>
                <w:szCs w:val="18"/>
              </w:rPr>
              <w:t>Resources required</w:t>
            </w:r>
          </w:p>
        </w:tc>
      </w:tr>
      <w:tr w:rsidR="00FF0149" w:rsidRPr="002D2A4F" w:rsidTr="003164D5">
        <w:trPr>
          <w:trHeight w:val="7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b/>
                <w:color w:val="C00000"/>
                <w:sz w:val="18"/>
                <w:szCs w:val="18"/>
              </w:rPr>
            </w:pPr>
            <w:r w:rsidRPr="002D2A4F">
              <w:rPr>
                <w:b/>
                <w:color w:val="C00000"/>
                <w:sz w:val="18"/>
                <w:szCs w:val="18"/>
              </w:rPr>
              <w:t>Assessment team</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2D2A4F" w:rsidRDefault="00FF0149" w:rsidP="003164D5">
            <w:pPr>
              <w:jc w:val="left"/>
              <w:rPr>
                <w:sz w:val="18"/>
                <w:szCs w:val="18"/>
              </w:rPr>
            </w:pP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color w:val="C00000"/>
                <w:sz w:val="18"/>
                <w:szCs w:val="18"/>
              </w:rPr>
            </w:pPr>
            <w:r w:rsidRPr="002D2A4F">
              <w:rPr>
                <w:color w:val="C00000"/>
                <w:sz w:val="18"/>
                <w:szCs w:val="18"/>
              </w:rPr>
              <w:t>Consultant fees (#consultants x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sz w:val="18"/>
                <w:szCs w:val="18"/>
              </w:rPr>
            </w:pPr>
            <w:r w:rsidRPr="002D2A4F">
              <w:rPr>
                <w:sz w:val="18"/>
                <w:szCs w:val="18"/>
              </w:rPr>
              <w:t>$</w:t>
            </w: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color w:val="C00000"/>
                <w:sz w:val="18"/>
                <w:szCs w:val="18"/>
              </w:rPr>
            </w:pPr>
            <w:r w:rsidRPr="002D2A4F">
              <w:rPr>
                <w:color w:val="C00000"/>
                <w:sz w:val="18"/>
                <w:szCs w:val="18"/>
              </w:rPr>
              <w:t>Staff costs (#staff x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sz w:val="18"/>
                <w:szCs w:val="18"/>
              </w:rPr>
            </w:pPr>
            <w:r w:rsidRPr="002D2A4F">
              <w:rPr>
                <w:sz w:val="18"/>
                <w:szCs w:val="18"/>
              </w:rPr>
              <w:t>$</w:t>
            </w: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color w:val="C00000"/>
                <w:sz w:val="18"/>
                <w:szCs w:val="18"/>
              </w:rPr>
            </w:pPr>
            <w:r w:rsidRPr="002D2A4F">
              <w:rPr>
                <w:color w:val="C00000"/>
                <w:sz w:val="18"/>
                <w:szCs w:val="18"/>
              </w:rPr>
              <w:t>Travel costs (#days, #trips)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sz w:val="18"/>
                <w:szCs w:val="18"/>
              </w:rPr>
            </w:pPr>
            <w:r w:rsidRPr="002D2A4F">
              <w:rPr>
                <w:sz w:val="18"/>
                <w:szCs w:val="18"/>
              </w:rPr>
              <w:t>$</w:t>
            </w: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color w:val="C00000"/>
                <w:sz w:val="18"/>
                <w:szCs w:val="18"/>
              </w:rPr>
            </w:pPr>
            <w:r w:rsidRPr="002D2A4F">
              <w:rPr>
                <w:color w:val="C00000"/>
                <w:sz w:val="18"/>
                <w:szCs w:val="18"/>
              </w:rPr>
              <w:t>Accommodation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sz w:val="18"/>
                <w:szCs w:val="18"/>
              </w:rPr>
            </w:pPr>
            <w:r w:rsidRPr="002D2A4F">
              <w:rPr>
                <w:sz w:val="18"/>
                <w:szCs w:val="18"/>
              </w:rPr>
              <w:t>$</w:t>
            </w: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color w:val="C00000"/>
                <w:sz w:val="18"/>
                <w:szCs w:val="18"/>
              </w:rPr>
            </w:pPr>
            <w:r w:rsidRPr="002D2A4F">
              <w:rPr>
                <w:color w:val="C00000"/>
                <w:sz w:val="18"/>
                <w:szCs w:val="18"/>
              </w:rPr>
              <w:t>Per diem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sz w:val="18"/>
                <w:szCs w:val="18"/>
              </w:rPr>
            </w:pPr>
            <w:r w:rsidRPr="002D2A4F">
              <w:rPr>
                <w:sz w:val="18"/>
                <w:szCs w:val="18"/>
              </w:rPr>
              <w:t>$</w:t>
            </w: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color w:val="C00000"/>
                <w:sz w:val="18"/>
                <w:szCs w:val="18"/>
              </w:rPr>
            </w:pPr>
            <w:r w:rsidRPr="002D2A4F">
              <w:rPr>
                <w:color w:val="C00000"/>
                <w:sz w:val="18"/>
                <w:szCs w:val="18"/>
              </w:rPr>
              <w:t>Training facilities hire (#days)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sz w:val="18"/>
                <w:szCs w:val="18"/>
              </w:rPr>
            </w:pPr>
            <w:r w:rsidRPr="002D2A4F">
              <w:rPr>
                <w:sz w:val="18"/>
                <w:szCs w:val="18"/>
              </w:rPr>
              <w:t>$</w:t>
            </w: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color w:val="C00000"/>
                <w:sz w:val="18"/>
                <w:szCs w:val="18"/>
              </w:rPr>
            </w:pPr>
            <w:r w:rsidRPr="002D2A4F">
              <w:rPr>
                <w:color w:val="C00000"/>
                <w:sz w:val="18"/>
                <w:szCs w:val="18"/>
              </w:rPr>
              <w:t>Catering (people x unit price)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sz w:val="18"/>
                <w:szCs w:val="18"/>
              </w:rPr>
            </w:pPr>
            <w:r w:rsidRPr="002D2A4F">
              <w:rPr>
                <w:sz w:val="18"/>
                <w:szCs w:val="18"/>
              </w:rPr>
              <w:t>$</w:t>
            </w: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color w:val="C00000"/>
                <w:sz w:val="18"/>
                <w:szCs w:val="18"/>
              </w:rPr>
            </w:pPr>
            <w:r w:rsidRPr="002D2A4F">
              <w:rPr>
                <w:color w:val="C00000"/>
                <w:sz w:val="18"/>
                <w:szCs w:val="18"/>
              </w:rPr>
              <w:t>Other incidental costs (translation, photocopying etc.)</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sz w:val="18"/>
                <w:szCs w:val="18"/>
              </w:rPr>
            </w:pPr>
            <w:r w:rsidRPr="002D2A4F">
              <w:rPr>
                <w:sz w:val="18"/>
                <w:szCs w:val="18"/>
              </w:rPr>
              <w:t>$</w:t>
            </w:r>
          </w:p>
        </w:tc>
      </w:tr>
      <w:tr w:rsidR="00FF0149" w:rsidRPr="002D2A4F" w:rsidTr="003164D5">
        <w:trPr>
          <w:trHeight w:val="20"/>
        </w:trPr>
        <w:tc>
          <w:tcPr>
            <w:tcW w:w="7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right"/>
              <w:rPr>
                <w:b/>
                <w:sz w:val="18"/>
                <w:szCs w:val="18"/>
              </w:rPr>
            </w:pPr>
            <w:r w:rsidRPr="002D2A4F">
              <w:rPr>
                <w:b/>
                <w:sz w:val="18"/>
                <w:szCs w:val="18"/>
              </w:rPr>
              <w:t>Total</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sz w:val="18"/>
                <w:szCs w:val="18"/>
              </w:rPr>
            </w:pPr>
            <w:r w:rsidRPr="002D2A4F">
              <w:rPr>
                <w:sz w:val="18"/>
                <w:szCs w:val="18"/>
              </w:rPr>
              <w:t>$</w:t>
            </w:r>
          </w:p>
        </w:tc>
      </w:tr>
      <w:tr w:rsidR="00FF0149" w:rsidRPr="002D2A4F" w:rsidTr="003164D5">
        <w:trPr>
          <w:trHeight w:val="20"/>
        </w:trPr>
        <w:tc>
          <w:tcPr>
            <w:tcW w:w="7747" w:type="dxa"/>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right"/>
              <w:rPr>
                <w:b/>
                <w:sz w:val="18"/>
                <w:szCs w:val="18"/>
              </w:rPr>
            </w:pPr>
          </w:p>
        </w:tc>
        <w:tc>
          <w:tcPr>
            <w:tcW w:w="2430" w:type="dxa"/>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sz w:val="18"/>
                <w:szCs w:val="18"/>
              </w:rPr>
            </w:pPr>
          </w:p>
        </w:tc>
      </w:tr>
    </w:tbl>
    <w:p w:rsidR="00FF0149" w:rsidRDefault="00FF0149" w:rsidP="00FF0149">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rsidTr="003164D5">
        <w:trPr>
          <w:trHeight w:val="20"/>
        </w:trPr>
        <w:tc>
          <w:tcPr>
            <w:tcW w:w="10177" w:type="dxa"/>
            <w:tcBorders>
              <w:top w:val="nil"/>
              <w:left w:val="nil"/>
              <w:bottom w:val="nil"/>
              <w:right w:val="nil"/>
            </w:tcBorders>
            <w:tcMar>
              <w:top w:w="0" w:type="dxa"/>
              <w:left w:w="108" w:type="dxa"/>
              <w:bottom w:w="0" w:type="dxa"/>
              <w:right w:w="108" w:type="dxa"/>
            </w:tcMar>
            <w:hideMark/>
          </w:tcPr>
          <w:p w:rsidR="00FF0149" w:rsidRPr="002D2A4F" w:rsidRDefault="00FF0149" w:rsidP="00EF1A5A">
            <w:pPr>
              <w:pStyle w:val="ListParagraph"/>
              <w:numPr>
                <w:ilvl w:val="0"/>
                <w:numId w:val="35"/>
              </w:numPr>
              <w:ind w:left="335"/>
              <w:rPr>
                <w:rFonts w:ascii="Calibri" w:eastAsia="MS Gothic" w:hAnsi="Calibri"/>
                <w:b/>
                <w:bCs/>
                <w:color w:val="365F91"/>
                <w:sz w:val="26"/>
                <w:szCs w:val="26"/>
              </w:rPr>
            </w:pPr>
            <w:r w:rsidRPr="005959AD">
              <w:rPr>
                <w:b/>
                <w:color w:val="244061" w:themeColor="accent1" w:themeShade="80"/>
                <w:sz w:val="28"/>
                <w:szCs w:val="28"/>
              </w:rPr>
              <w:lastRenderedPageBreak/>
              <w:t>Approach and methodology</w:t>
            </w:r>
          </w:p>
        </w:tc>
      </w:tr>
      <w:tr w:rsidR="00FF0149" w:rsidRPr="002D2A4F" w:rsidTr="003164D5">
        <w:trPr>
          <w:trHeight w:val="20"/>
        </w:trPr>
        <w:tc>
          <w:tcPr>
            <w:tcW w:w="10177" w:type="dxa"/>
            <w:tcBorders>
              <w:top w:val="nil"/>
              <w:left w:val="nil"/>
              <w:bottom w:val="nil"/>
              <w:right w:val="nil"/>
            </w:tcBorders>
            <w:tcMar>
              <w:top w:w="0" w:type="dxa"/>
              <w:left w:w="108" w:type="dxa"/>
              <w:bottom w:w="0" w:type="dxa"/>
              <w:right w:w="108" w:type="dxa"/>
            </w:tcMar>
          </w:tcPr>
          <w:p w:rsidR="00FF0149" w:rsidRPr="00740CED" w:rsidRDefault="00FF0149" w:rsidP="003164D5">
            <w:pPr>
              <w:jc w:val="left"/>
              <w:rPr>
                <w:rFonts w:ascii="Calibri" w:hAnsi="Calibri"/>
                <w:bCs/>
                <w:i/>
                <w:color w:val="C00000"/>
                <w:szCs w:val="22"/>
              </w:rPr>
            </w:pPr>
            <w:r w:rsidRPr="00740CED">
              <w:rPr>
                <w:rFonts w:ascii="Calibri" w:hAnsi="Calibri"/>
                <w:bCs/>
                <w:i/>
                <w:color w:val="C00000"/>
                <w:szCs w:val="22"/>
              </w:rPr>
              <w:t xml:space="preserve">Under the subheadings below, summarize how the assessment will be performed, including the methodology to be applied, main references and sources of information, deliverables and time frame, report structure, quality assurance arrangements, and consultation, reporting and next steps.  </w:t>
            </w:r>
          </w:p>
          <w:p w:rsidR="00FF0149" w:rsidRPr="00740CED" w:rsidRDefault="00FF0149" w:rsidP="003164D5">
            <w:pPr>
              <w:jc w:val="left"/>
              <w:rPr>
                <w:rFonts w:ascii="Calibri" w:hAnsi="Calibri"/>
                <w:color w:val="4BACC6" w:themeColor="accent5"/>
                <w:szCs w:val="22"/>
              </w:rPr>
            </w:pPr>
            <w:r w:rsidRPr="00740CED">
              <w:rPr>
                <w:rFonts w:ascii="Calibri" w:hAnsi="Calibri"/>
                <w:color w:val="4BACC6" w:themeColor="accent5"/>
                <w:szCs w:val="22"/>
              </w:rPr>
              <w:t>(Recommended length: no more than 1,000 words, plus table.)</w:t>
            </w:r>
          </w:p>
          <w:p w:rsidR="00FF0149" w:rsidRPr="002D2A4F" w:rsidRDefault="00FF0149" w:rsidP="003164D5">
            <w:pPr>
              <w:jc w:val="left"/>
              <w:rPr>
                <w:sz w:val="18"/>
                <w:szCs w:val="18"/>
              </w:rPr>
            </w:pPr>
          </w:p>
        </w:tc>
      </w:tr>
      <w:tr w:rsidR="00FF0149" w:rsidRPr="002D2A4F"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hideMark/>
          </w:tcPr>
          <w:p w:rsidR="00FF0149" w:rsidRPr="002D2A4F" w:rsidRDefault="00A7656B" w:rsidP="00A7656B">
            <w:pPr>
              <w:ind w:firstLine="425"/>
            </w:pPr>
            <w:r>
              <w:rPr>
                <w:b/>
                <w:color w:val="244061" w:themeColor="accent1" w:themeShade="80"/>
                <w:sz w:val="24"/>
              </w:rPr>
              <w:t xml:space="preserve">5.1 </w:t>
            </w:r>
            <w:r w:rsidR="00FF0149" w:rsidRPr="00A7656B">
              <w:rPr>
                <w:b/>
                <w:color w:val="244061" w:themeColor="accent1" w:themeShade="80"/>
                <w:sz w:val="24"/>
              </w:rPr>
              <w:t>Methodology and information requirements</w:t>
            </w:r>
          </w:p>
        </w:tc>
      </w:tr>
      <w:tr w:rsidR="00FF0149" w:rsidRPr="002D2A4F"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Methodology</w:t>
            </w: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State that the assessment will apply the PEFA 2016 methodology. Briefly describe whether all indicators and dimensions of PEFA 2016 are to be used, and if not, explain why. </w:t>
            </w:r>
          </w:p>
          <w:p w:rsidR="00FF0149" w:rsidRPr="00113BC9" w:rsidRDefault="00FF0149" w:rsidP="003164D5">
            <w:pPr>
              <w:jc w:val="left"/>
              <w:rPr>
                <w:rFonts w:ascii="Calibri" w:hAnsi="Calibri"/>
                <w:i/>
                <w:color w:val="C00000"/>
                <w:szCs w:val="22"/>
              </w:rPr>
            </w:pP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For example, an indicator may not be relevant where there are no intergovernmental transfers. If the indicator is not used because it would duplicate related work using other diagnostic tools, this section should explain how the findings from other work will be reflected in the PEFA analysis and report. This section should also indicate when additional indicators are used, such as HLG-1 for transfers to subnational government, or drill-down or add-on indicators (complementing the information on purpose, scope and coverage in section 3). </w:t>
            </w:r>
          </w:p>
          <w:p w:rsidR="00FF0149" w:rsidRPr="00113BC9" w:rsidRDefault="00FF0149" w:rsidP="003164D5">
            <w:pPr>
              <w:jc w:val="left"/>
              <w:rPr>
                <w:rFonts w:ascii="Calibri" w:hAnsi="Calibri"/>
                <w:i/>
                <w:color w:val="C00000"/>
                <w:szCs w:val="22"/>
              </w:rPr>
            </w:pP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Describe any arrangements to coordinate the assessment with any other related PFM work or development partner operations.</w:t>
            </w:r>
          </w:p>
          <w:p w:rsidR="00FF0149" w:rsidRPr="00113BC9" w:rsidRDefault="00FF0149" w:rsidP="003164D5">
            <w:pPr>
              <w:jc w:val="left"/>
              <w:rPr>
                <w:rFonts w:ascii="Calibri" w:hAnsi="Calibri"/>
                <w:i/>
                <w:color w:val="C00000"/>
                <w:szCs w:val="22"/>
              </w:rPr>
            </w:pP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This subsection should refer to the PEFA 2016 guidance documents relevant to the assessment, which are available from the PEFA website: </w:t>
            </w:r>
            <w:hyperlink r:id="rId8" w:history="1">
              <w:r w:rsidRPr="00113BC9">
                <w:rPr>
                  <w:i/>
                  <w:color w:val="C00000"/>
                  <w:szCs w:val="22"/>
                  <w:u w:val="single"/>
                </w:rPr>
                <w:t>www.pefa.org</w:t>
              </w:r>
            </w:hyperlink>
            <w:r w:rsidRPr="00113BC9">
              <w:rPr>
                <w:i/>
                <w:color w:val="C00000"/>
                <w:szCs w:val="22"/>
                <w:u w:val="single"/>
              </w:rPr>
              <w:t>.</w:t>
            </w:r>
            <w:r w:rsidRPr="00113BC9">
              <w:rPr>
                <w:rFonts w:ascii="Calibri" w:hAnsi="Calibri"/>
                <w:i/>
                <w:color w:val="C00000"/>
                <w:szCs w:val="22"/>
              </w:rPr>
              <w:t xml:space="preserve"> The methodology for any additional indicators or analysis to be undertaken as part of the assessment should also be referenced. </w:t>
            </w:r>
          </w:p>
          <w:p w:rsidR="00FF0149" w:rsidRPr="00113BC9" w:rsidRDefault="00FF0149" w:rsidP="003164D5">
            <w:pPr>
              <w:jc w:val="left"/>
              <w:rPr>
                <w:rFonts w:ascii="Calibri" w:hAnsi="Calibri"/>
                <w:i/>
                <w:color w:val="C00000"/>
                <w:szCs w:val="22"/>
              </w:rPr>
            </w:pPr>
          </w:p>
          <w:p w:rsidR="00FF0149" w:rsidRPr="00113BC9" w:rsidRDefault="00FF0149" w:rsidP="003164D5">
            <w:pPr>
              <w:jc w:val="left"/>
              <w:rPr>
                <w:rFonts w:ascii="Calibri" w:hAnsi="Calibri"/>
                <w:i/>
                <w:color w:val="C00000"/>
                <w:szCs w:val="22"/>
              </w:rPr>
            </w:pPr>
          </w:p>
          <w:p w:rsidR="00FF0149" w:rsidRPr="00113BC9" w:rsidRDefault="00FF0149" w:rsidP="003164D5">
            <w:pPr>
              <w:jc w:val="left"/>
              <w:rPr>
                <w:rFonts w:ascii="Calibri" w:hAnsi="Calibri"/>
                <w:i/>
                <w:color w:val="C00000"/>
                <w:szCs w:val="22"/>
              </w:rPr>
            </w:pPr>
          </w:p>
          <w:p w:rsidR="00FF0149" w:rsidRDefault="00FF0149" w:rsidP="003164D5"/>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Default="00FF0149" w:rsidP="003164D5">
            <w:pPr>
              <w:jc w:val="left"/>
              <w:rPr>
                <w:rFonts w:ascii="Calibri" w:hAnsi="Calibri"/>
                <w:bCs/>
                <w:i/>
                <w:color w:val="C00000"/>
                <w:szCs w:val="22"/>
              </w:rPr>
            </w:pPr>
          </w:p>
          <w:p w:rsidR="00FF0149" w:rsidRPr="002D2A4F" w:rsidRDefault="00FF0149" w:rsidP="003164D5">
            <w:pPr>
              <w:jc w:val="left"/>
              <w:rPr>
                <w:rFonts w:ascii="Calibri" w:hAnsi="Calibri"/>
                <w:bCs/>
                <w:i/>
                <w:color w:val="C00000"/>
                <w:szCs w:val="22"/>
              </w:rPr>
            </w:pPr>
          </w:p>
        </w:tc>
      </w:tr>
    </w:tbl>
    <w:p w:rsidR="00FF0149" w:rsidRDefault="00FF0149" w:rsidP="00FF0149">
      <w:r>
        <w:br w:type="page"/>
      </w:r>
    </w:p>
    <w:tbl>
      <w:tblPr>
        <w:tblStyle w:val="TableGrid4"/>
        <w:tblW w:w="10177" w:type="dxa"/>
        <w:tblInd w:w="-12" w:type="dxa"/>
        <w:tblCellMar>
          <w:left w:w="115" w:type="dxa"/>
          <w:right w:w="115" w:type="dxa"/>
        </w:tblCellMar>
        <w:tblLook w:val="04A0" w:firstRow="1" w:lastRow="0" w:firstColumn="1" w:lastColumn="0" w:noHBand="0" w:noVBand="1"/>
      </w:tblPr>
      <w:tblGrid>
        <w:gridCol w:w="10177"/>
      </w:tblGrid>
      <w:tr w:rsidR="00FF0149" w:rsidRPr="002D2A4F"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lastRenderedPageBreak/>
              <w:t>Data collection</w:t>
            </w: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Identify any key references for the assessment (such as previous PEFA reports) or other studies by development partners (such as World Bank public expenditure reviews, IMF fiscal transparency evaluations, Article IV </w:t>
            </w:r>
            <w:r w:rsidRPr="00113BC9">
              <w:rPr>
                <w:rFonts w:ascii="Calibri" w:hAnsi="Calibri"/>
                <w:bCs/>
                <w:i/>
                <w:color w:val="C00000"/>
                <w:szCs w:val="22"/>
              </w:rPr>
              <w:t>or other analytical reports, donor assessments, government evaluations, and research studies). The main sources of information within the country should be identified, such as the ministry of finance, revenue administration, state audit department, ministry for economic affairs, office of the president, selected line ministries, chambers of commerce, and taxpayers’ associations.</w:t>
            </w:r>
            <w:r w:rsidRPr="00113BC9">
              <w:rPr>
                <w:rFonts w:ascii="Calibri" w:hAnsi="Calibri"/>
                <w:i/>
                <w:color w:val="C00000"/>
                <w:szCs w:val="22"/>
              </w:rPr>
              <w:t xml:space="preserve">  </w:t>
            </w:r>
          </w:p>
          <w:p w:rsidR="00FF0149" w:rsidRPr="00113BC9" w:rsidRDefault="00FF0149" w:rsidP="003164D5">
            <w:pPr>
              <w:jc w:val="left"/>
              <w:rPr>
                <w:rFonts w:ascii="Calibri" w:hAnsi="Calibri"/>
                <w:i/>
                <w:color w:val="C00000"/>
                <w:szCs w:val="22"/>
              </w:rPr>
            </w:pP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Describe the approach to data collection, such as the preparation of the team and counterparts, anticipated data requests, awareness-raising and training workshops, and the nature and extent of in-country data collection (e.g., expected meetings required, accessibility of nonpublic data, and coordination with government officials). Any known challenges or information gaps should be highlighted, and the approach to resolving these challenges should be outlined. </w:t>
            </w: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Pr="00113BC9" w:rsidRDefault="00FF0149" w:rsidP="003164D5">
            <w:pPr>
              <w:jc w:val="left"/>
              <w:rPr>
                <w:rFonts w:ascii="Calibri" w:hAnsi="Calibri"/>
                <w:b/>
                <w:i/>
                <w:color w:val="C00000"/>
                <w:szCs w:val="22"/>
              </w:rPr>
            </w:pPr>
          </w:p>
        </w:tc>
      </w:tr>
      <w:tr w:rsidR="00FF0149" w:rsidRPr="002D2A4F"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t>Main deliverables</w:t>
            </w: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Complete table 6 setting out the details of all major activities, deliverables and key dates should be included. It should identify the key stages, what needs to be completed or delivered, and the expected date for commencement and completion.  </w:t>
            </w:r>
          </w:p>
          <w:p w:rsidR="00FF0149" w:rsidRPr="00113BC9" w:rsidRDefault="00FF0149" w:rsidP="003164D5">
            <w:pPr>
              <w:rPr>
                <w:i/>
                <w:szCs w:val="22"/>
              </w:rPr>
            </w:pP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The deliverables should include as a minimum (i) a a draft CN/ToR and final CN/ToR which takes into consideration comments on the draft CN/ToR and (ii) a draft report and a final report which takes into consideration comments on the draft report. </w:t>
            </w:r>
          </w:p>
          <w:p w:rsidR="00FF0149" w:rsidRPr="00113BC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r w:rsidRPr="00113BC9">
              <w:rPr>
                <w:rFonts w:ascii="Calibri" w:hAnsi="Calibri"/>
                <w:i/>
                <w:color w:val="C00000"/>
                <w:szCs w:val="22"/>
              </w:rPr>
              <w:t xml:space="preserve">Other deliverables as determined by the government and other stakeholders, such as an inception report, training and workshop materials, presentations, templates and data sets should be included together with a timetable. </w:t>
            </w: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Pr="00113BC9" w:rsidRDefault="00FF0149" w:rsidP="003164D5">
            <w:pPr>
              <w:jc w:val="left"/>
              <w:rPr>
                <w:rFonts w:ascii="Calibri" w:hAnsi="Calibri"/>
                <w:i/>
                <w:color w:val="C00000"/>
                <w:szCs w:val="22"/>
              </w:rPr>
            </w:pPr>
          </w:p>
          <w:p w:rsidR="00FF0149" w:rsidRPr="00113BC9" w:rsidRDefault="00FF0149" w:rsidP="003164D5">
            <w:pPr>
              <w:jc w:val="left"/>
              <w:rPr>
                <w:rFonts w:ascii="Calibri" w:hAnsi="Calibri"/>
                <w:b/>
                <w:i/>
                <w:color w:val="C00000"/>
                <w:szCs w:val="22"/>
              </w:rPr>
            </w:pPr>
          </w:p>
        </w:tc>
      </w:tr>
      <w:tr w:rsidR="00FF0149" w:rsidRPr="002D2A4F"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113BC9" w:rsidRDefault="00FF0149" w:rsidP="003164D5">
            <w:pPr>
              <w:jc w:val="left"/>
              <w:rPr>
                <w:rFonts w:ascii="Calibri" w:hAnsi="Calibri"/>
                <w:b/>
                <w:i/>
                <w:color w:val="C00000"/>
                <w:szCs w:val="22"/>
              </w:rPr>
            </w:pPr>
            <w:r w:rsidRPr="00113BC9">
              <w:rPr>
                <w:rFonts w:ascii="Calibri" w:hAnsi="Calibri"/>
                <w:b/>
                <w:i/>
                <w:color w:val="C00000"/>
                <w:szCs w:val="22"/>
              </w:rPr>
              <w:lastRenderedPageBreak/>
              <w:t>Successive assessments</w:t>
            </w: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If this a successive assessment explain the arrangements for tracking progress from previous assessments. </w:t>
            </w:r>
          </w:p>
          <w:p w:rsidR="00FF0149" w:rsidRPr="00113BC9" w:rsidRDefault="00FF0149" w:rsidP="003164D5">
            <w:pPr>
              <w:jc w:val="left"/>
              <w:rPr>
                <w:rFonts w:ascii="Calibri" w:hAnsi="Calibri"/>
                <w:i/>
                <w:color w:val="C00000"/>
                <w:szCs w:val="22"/>
              </w:rPr>
            </w:pPr>
          </w:p>
          <w:p w:rsidR="00FF0149" w:rsidRPr="00113BC9" w:rsidRDefault="00FF0149" w:rsidP="003164D5">
            <w:pPr>
              <w:jc w:val="left"/>
              <w:rPr>
                <w:rFonts w:ascii="Calibri" w:hAnsi="Calibri"/>
                <w:i/>
                <w:color w:val="C00000"/>
                <w:szCs w:val="22"/>
              </w:rPr>
            </w:pPr>
            <w:r w:rsidRPr="00113BC9">
              <w:rPr>
                <w:rFonts w:ascii="Calibri" w:hAnsi="Calibri"/>
                <w:i/>
                <w:color w:val="C00000"/>
                <w:szCs w:val="22"/>
              </w:rPr>
              <w:t xml:space="preserve">If progress will not be tracked from the previous assessment, briefly explain why.  The CN/ToR should describe the approach to data collection, such as preparation for the team and counterparts, anticipated data requests, awareness-raising and training workshops, the nature and extent of in-country data collection such as expected meetings required, accessibility of nonpublic data, and coordination with government officials. Any known challenges or information gaps should be highlighted and the approach to resolving the challenges should be outlined. </w:t>
            </w: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Default="00FF0149" w:rsidP="003164D5">
            <w:pPr>
              <w:jc w:val="left"/>
              <w:rPr>
                <w:rFonts w:ascii="Calibri" w:hAnsi="Calibri"/>
                <w:b/>
                <w:i/>
                <w:color w:val="C00000"/>
                <w:szCs w:val="22"/>
              </w:rPr>
            </w:pPr>
          </w:p>
          <w:p w:rsidR="00FF0149" w:rsidRPr="00113BC9" w:rsidRDefault="00FF0149" w:rsidP="003164D5">
            <w:pPr>
              <w:jc w:val="left"/>
              <w:rPr>
                <w:rFonts w:ascii="Calibri" w:hAnsi="Calibri"/>
                <w:b/>
                <w:i/>
                <w:color w:val="C00000"/>
                <w:szCs w:val="22"/>
              </w:rPr>
            </w:pPr>
          </w:p>
        </w:tc>
      </w:tr>
      <w:tr w:rsidR="00FF0149" w:rsidRPr="002D2A4F" w:rsidTr="003164D5">
        <w:trPr>
          <w:trHeight w:val="20"/>
        </w:trPr>
        <w:tc>
          <w:tcPr>
            <w:tcW w:w="10177" w:type="dxa"/>
            <w:tcBorders>
              <w:top w:val="single" w:sz="4" w:space="0" w:color="auto"/>
              <w:left w:val="nil"/>
              <w:bottom w:val="nil"/>
              <w:right w:val="nil"/>
            </w:tcBorders>
            <w:tcMar>
              <w:top w:w="0" w:type="dxa"/>
              <w:left w:w="108" w:type="dxa"/>
              <w:bottom w:w="0" w:type="dxa"/>
              <w:right w:w="108" w:type="dxa"/>
            </w:tcMar>
          </w:tcPr>
          <w:p w:rsidR="00FF0149" w:rsidRPr="00740CED" w:rsidRDefault="00FF0149" w:rsidP="003164D5">
            <w:pPr>
              <w:jc w:val="left"/>
              <w:rPr>
                <w:rFonts w:ascii="Calibri" w:hAnsi="Calibri"/>
                <w:color w:val="C00000"/>
                <w:szCs w:val="22"/>
                <w:u w:val="single"/>
              </w:rPr>
            </w:pPr>
          </w:p>
        </w:tc>
      </w:tr>
      <w:tr w:rsidR="00FF0149" w:rsidRPr="002D2A4F" w:rsidTr="003164D5">
        <w:trPr>
          <w:trHeight w:val="20"/>
        </w:trPr>
        <w:tc>
          <w:tcPr>
            <w:tcW w:w="10177" w:type="dxa"/>
            <w:tcBorders>
              <w:top w:val="nil"/>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i/>
                <w:color w:val="C00000"/>
                <w:szCs w:val="22"/>
              </w:rPr>
            </w:pPr>
          </w:p>
        </w:tc>
      </w:tr>
    </w:tbl>
    <w:p w:rsidR="00FF0149" w:rsidRDefault="00FF0149" w:rsidP="00FF0149"/>
    <w:tbl>
      <w:tblPr>
        <w:tblStyle w:val="TableGrid4"/>
        <w:tblW w:w="10177" w:type="dxa"/>
        <w:tblInd w:w="-7" w:type="dxa"/>
        <w:tblCellMar>
          <w:left w:w="115" w:type="dxa"/>
          <w:right w:w="115" w:type="dxa"/>
        </w:tblCellMar>
        <w:tblLook w:val="04A0" w:firstRow="1" w:lastRow="0" w:firstColumn="1" w:lastColumn="0" w:noHBand="0" w:noVBand="1"/>
      </w:tblPr>
      <w:tblGrid>
        <w:gridCol w:w="4361"/>
        <w:gridCol w:w="2646"/>
        <w:gridCol w:w="3170"/>
      </w:tblGrid>
      <w:tr w:rsidR="00FF0149" w:rsidRPr="002D2A4F" w:rsidTr="003164D5">
        <w:trPr>
          <w:trHeight w:val="20"/>
        </w:trPr>
        <w:tc>
          <w:tcPr>
            <w:tcW w:w="10177" w:type="dxa"/>
            <w:gridSpan w:val="3"/>
            <w:tcBorders>
              <w:top w:val="nil"/>
              <w:left w:val="nil"/>
              <w:bottom w:val="single" w:sz="4" w:space="0" w:color="auto"/>
              <w:right w:val="nil"/>
            </w:tcBorders>
            <w:tcMar>
              <w:top w:w="0" w:type="dxa"/>
              <w:left w:w="108" w:type="dxa"/>
              <w:bottom w:w="0" w:type="dxa"/>
              <w:right w:w="108" w:type="dxa"/>
            </w:tcMar>
            <w:hideMark/>
          </w:tcPr>
          <w:p w:rsidR="00FF0149" w:rsidRPr="002D2A4F" w:rsidRDefault="00FF0149" w:rsidP="003164D5">
            <w:pPr>
              <w:jc w:val="left"/>
              <w:rPr>
                <w:rFonts w:ascii="Calibri" w:hAnsi="Calibri"/>
                <w:i/>
                <w:color w:val="C00000"/>
                <w:szCs w:val="22"/>
              </w:rPr>
            </w:pPr>
            <w:r w:rsidRPr="002D2A4F">
              <w:rPr>
                <w:rFonts w:ascii="Calibri" w:hAnsi="Calibri"/>
                <w:b/>
                <w:szCs w:val="22"/>
              </w:rPr>
              <w:t>Table 6. PEFA assessment implementation schedule</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rFonts w:ascii="Calibri" w:hAnsi="Calibri"/>
                <w:b/>
                <w:sz w:val="20"/>
                <w:szCs w:val="20"/>
              </w:rPr>
            </w:pPr>
            <w:r w:rsidRPr="002D2A4F">
              <w:rPr>
                <w:rFonts w:ascii="Calibri" w:hAnsi="Calibri"/>
                <w:b/>
                <w:sz w:val="20"/>
                <w:szCs w:val="20"/>
              </w:rPr>
              <w:t>Task</w:t>
            </w:r>
          </w:p>
        </w:tc>
        <w:tc>
          <w:tcPr>
            <w:tcW w:w="2646"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rFonts w:ascii="Calibri" w:hAnsi="Calibri"/>
                <w:b/>
                <w:sz w:val="20"/>
                <w:szCs w:val="20"/>
              </w:rPr>
            </w:pPr>
            <w:r w:rsidRPr="002D2A4F">
              <w:rPr>
                <w:rFonts w:ascii="Calibri" w:hAnsi="Calibri"/>
                <w:b/>
                <w:sz w:val="20"/>
                <w:szCs w:val="20"/>
              </w:rPr>
              <w:t>Deliverable</w:t>
            </w:r>
          </w:p>
        </w:tc>
        <w:tc>
          <w:tcPr>
            <w:tcW w:w="317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FF0149" w:rsidRPr="002D2A4F" w:rsidRDefault="00FF0149" w:rsidP="003164D5">
            <w:pPr>
              <w:jc w:val="center"/>
              <w:rPr>
                <w:rFonts w:ascii="Calibri" w:hAnsi="Calibri"/>
                <w:b/>
                <w:sz w:val="20"/>
                <w:szCs w:val="20"/>
              </w:rPr>
            </w:pPr>
            <w:r w:rsidRPr="002D2A4F">
              <w:rPr>
                <w:rFonts w:ascii="Calibri" w:hAnsi="Calibri"/>
                <w:b/>
                <w:sz w:val="20"/>
                <w:szCs w:val="20"/>
              </w:rPr>
              <w:t>Date(s)</w:t>
            </w:r>
          </w:p>
        </w:tc>
      </w:tr>
      <w:tr w:rsidR="00FF0149" w:rsidRPr="002D2A4F"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i/>
                <w:color w:val="C00000"/>
                <w:sz w:val="18"/>
                <w:szCs w:val="18"/>
              </w:rPr>
            </w:pPr>
            <w:r w:rsidRPr="002D2A4F">
              <w:rPr>
                <w:rFonts w:ascii="Calibri" w:hAnsi="Calibri"/>
                <w:b/>
                <w:color w:val="C00000"/>
                <w:sz w:val="18"/>
                <w:szCs w:val="18"/>
              </w:rPr>
              <w:t>Preparatory work</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Establishment of the stakeholder oversight team</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Team confirmation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359"/>
        </w:trPr>
        <w:tc>
          <w:tcPr>
            <w:tcW w:w="4361" w:type="dxa"/>
            <w:tcBorders>
              <w:top w:val="single" w:sz="4" w:space="0" w:color="auto"/>
              <w:left w:val="single" w:sz="4" w:space="0" w:color="auto"/>
              <w:bottom w:val="single" w:sz="4" w:space="0" w:color="auto"/>
              <w:right w:val="single" w:sz="4" w:space="0" w:color="auto"/>
            </w:tcBorders>
            <w:hideMark/>
          </w:tcPr>
          <w:p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Finalization of the concept note/terms of reference</w:t>
            </w:r>
          </w:p>
        </w:tc>
        <w:tc>
          <w:tcPr>
            <w:tcW w:w="2646"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Concept note</w:t>
            </w:r>
          </w:p>
        </w:tc>
        <w:tc>
          <w:tcPr>
            <w:tcW w:w="3170" w:type="dxa"/>
            <w:tcBorders>
              <w:top w:val="single" w:sz="4" w:space="0" w:color="auto"/>
              <w:left w:val="single" w:sz="4" w:space="0" w:color="auto"/>
              <w:bottom w:val="single" w:sz="4" w:space="0" w:color="auto"/>
              <w:right w:val="single" w:sz="4" w:space="0" w:color="auto"/>
            </w:tcBorders>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Coordination with governments and stakeholders (including meeting and workshop schedule)</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Agreed work schedule</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 xml:space="preserve">Initial data request </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Data request issued to responsible units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7"/>
              </w:numPr>
              <w:contextualSpacing/>
              <w:jc w:val="left"/>
              <w:rPr>
                <w:rFonts w:ascii="Calibri" w:eastAsia="Cambria" w:hAnsi="Calibri"/>
                <w:color w:val="C00000"/>
                <w:sz w:val="18"/>
                <w:szCs w:val="18"/>
              </w:rPr>
            </w:pPr>
            <w:r w:rsidRPr="002D2A4F">
              <w:rPr>
                <w:rFonts w:ascii="Calibri" w:eastAsia="Cambria" w:hAnsi="Calibri"/>
                <w:color w:val="C00000"/>
                <w:sz w:val="18"/>
                <w:szCs w:val="18"/>
              </w:rPr>
              <w:t>Workshop preparation</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Workshop materials in required language(s)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b/>
                <w:color w:val="C00000"/>
                <w:sz w:val="18"/>
                <w:szCs w:val="18"/>
              </w:rPr>
              <w:t>Field work</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PEFA methodology workshop</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Workshop delivery</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Data collection and interviews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All necessary data obtained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Preparation of draft report by assessment team</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Draft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Presentation of draft report and initial findings to authorities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 xml:space="preserve">Presentation initial findings </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b/>
                <w:color w:val="C00000"/>
                <w:sz w:val="18"/>
                <w:szCs w:val="18"/>
              </w:rPr>
            </w:pPr>
            <w:r w:rsidRPr="002D2A4F">
              <w:rPr>
                <w:rFonts w:ascii="Calibri" w:hAnsi="Calibri"/>
                <w:b/>
                <w:color w:val="C00000"/>
                <w:sz w:val="18"/>
                <w:szCs w:val="18"/>
              </w:rPr>
              <w:t>Post</w:t>
            </w:r>
            <w:r w:rsidRPr="002D2A4F">
              <w:rPr>
                <w:rFonts w:ascii="Calibri" w:hAnsi="Calibri"/>
                <w:b/>
                <w:color w:val="C00000"/>
                <w:sz w:val="18"/>
                <w:szCs w:val="18"/>
              </w:rPr>
              <w:softHyphen/>
              <w:t>–field work</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Review of comments and further drafting of report</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Comments recorded and considered, draft revised</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Presentation of final report to authorities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Final report</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Publication of final report</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Publication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101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b/>
                <w:color w:val="C00000"/>
                <w:sz w:val="18"/>
                <w:szCs w:val="18"/>
              </w:rPr>
            </w:pPr>
            <w:r w:rsidRPr="002D2A4F">
              <w:rPr>
                <w:rFonts w:ascii="Calibri" w:hAnsi="Calibri"/>
                <w:b/>
                <w:color w:val="C00000"/>
                <w:sz w:val="18"/>
                <w:szCs w:val="18"/>
              </w:rPr>
              <w:t>Planned post</w:t>
            </w:r>
            <w:r w:rsidRPr="002D2A4F">
              <w:rPr>
                <w:rFonts w:ascii="Calibri" w:hAnsi="Calibri"/>
                <w:b/>
                <w:color w:val="C00000"/>
                <w:sz w:val="18"/>
                <w:szCs w:val="18"/>
              </w:rPr>
              <w:softHyphen/>
              <w:t>–PEFA assessment activity (not part of the scope of the concept note/terms of reference)</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PFM reform dialogue based on PEFA assessment findings</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Briefing on the relevance of PEFA to government policy priorities</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4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EF1A5A">
            <w:pPr>
              <w:numPr>
                <w:ilvl w:val="0"/>
                <w:numId w:val="8"/>
              </w:numPr>
              <w:contextualSpacing/>
              <w:jc w:val="left"/>
              <w:rPr>
                <w:rFonts w:ascii="Calibri" w:eastAsia="Cambria" w:hAnsi="Calibri"/>
                <w:color w:val="C00000"/>
                <w:sz w:val="18"/>
                <w:szCs w:val="18"/>
              </w:rPr>
            </w:pPr>
            <w:r w:rsidRPr="002D2A4F">
              <w:rPr>
                <w:rFonts w:ascii="Calibri" w:eastAsia="Cambria" w:hAnsi="Calibri"/>
                <w:color w:val="C00000"/>
                <w:sz w:val="18"/>
                <w:szCs w:val="18"/>
              </w:rPr>
              <w:t>Development of a PFM action plan or reform program</w:t>
            </w:r>
          </w:p>
        </w:tc>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PFM action plan</w:t>
            </w:r>
          </w:p>
        </w:tc>
        <w:tc>
          <w:tcPr>
            <w:tcW w:w="3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49" w:rsidRPr="002D2A4F" w:rsidRDefault="00FF0149" w:rsidP="003164D5">
            <w:pPr>
              <w:jc w:val="left"/>
              <w:rPr>
                <w:rFonts w:ascii="Calibri" w:hAnsi="Calibri"/>
                <w:color w:val="C00000"/>
                <w:sz w:val="18"/>
                <w:szCs w:val="18"/>
              </w:rPr>
            </w:pPr>
            <w:r w:rsidRPr="002D2A4F">
              <w:rPr>
                <w:rFonts w:ascii="Calibri" w:hAnsi="Calibri"/>
                <w:color w:val="C00000"/>
                <w:sz w:val="18"/>
                <w:szCs w:val="18"/>
              </w:rPr>
              <w:t>Insert date(s)</w:t>
            </w:r>
          </w:p>
        </w:tc>
      </w:tr>
      <w:tr w:rsidR="00FF0149" w:rsidRPr="002D2A4F" w:rsidTr="003164D5">
        <w:trPr>
          <w:trHeight w:val="20"/>
        </w:trPr>
        <w:tc>
          <w:tcPr>
            <w:tcW w:w="10177" w:type="dxa"/>
            <w:gridSpan w:val="3"/>
            <w:tcBorders>
              <w:top w:val="single" w:sz="4" w:space="0" w:color="auto"/>
              <w:left w:val="nil"/>
              <w:bottom w:val="nil"/>
              <w:right w:val="nil"/>
            </w:tcBorders>
            <w:tcMar>
              <w:top w:w="0" w:type="dxa"/>
              <w:left w:w="108" w:type="dxa"/>
              <w:bottom w:w="0" w:type="dxa"/>
              <w:right w:w="108" w:type="dxa"/>
            </w:tcMar>
          </w:tcPr>
          <w:p w:rsidR="00FF0149" w:rsidRPr="002D2A4F" w:rsidRDefault="00FF0149" w:rsidP="003164D5">
            <w:pPr>
              <w:jc w:val="left"/>
              <w:rPr>
                <w:rFonts w:ascii="Calibri" w:hAnsi="Calibri"/>
                <w:color w:val="C00000"/>
                <w:sz w:val="18"/>
                <w:szCs w:val="18"/>
              </w:rPr>
            </w:pPr>
          </w:p>
        </w:tc>
      </w:tr>
    </w:tbl>
    <w:p w:rsidR="00A7656B" w:rsidRDefault="00A7656B">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rsidR="00FF0149" w:rsidRPr="002D2A4F" w:rsidRDefault="00A7656B" w:rsidP="00A7656B">
            <w:pPr>
              <w:ind w:firstLine="425"/>
              <w:rPr>
                <w:color w:val="C00000"/>
                <w:sz w:val="18"/>
                <w:szCs w:val="18"/>
              </w:rPr>
            </w:pPr>
            <w:r>
              <w:rPr>
                <w:b/>
                <w:color w:val="244061" w:themeColor="accent1" w:themeShade="80"/>
                <w:sz w:val="24"/>
              </w:rPr>
              <w:lastRenderedPageBreak/>
              <w:t xml:space="preserve">5.2 </w:t>
            </w:r>
            <w:r w:rsidR="00FF0149" w:rsidRPr="00A7656B">
              <w:rPr>
                <w:b/>
                <w:color w:val="244061" w:themeColor="accent1" w:themeShade="80"/>
                <w:sz w:val="24"/>
              </w:rPr>
              <w:t>Structure of the PEFA Report</w:t>
            </w:r>
          </w:p>
        </w:tc>
      </w:tr>
      <w:tr w:rsidR="00FF0149" w:rsidRPr="002D2A4F"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B74EC5" w:rsidRDefault="00FF0149" w:rsidP="003164D5">
            <w:pPr>
              <w:jc w:val="left"/>
              <w:rPr>
                <w:rFonts w:ascii="Calibri" w:hAnsi="Calibri"/>
                <w:i/>
                <w:color w:val="C00000"/>
                <w:szCs w:val="22"/>
              </w:rPr>
            </w:pPr>
            <w:r w:rsidRPr="00B74EC5">
              <w:rPr>
                <w:rFonts w:ascii="Calibri" w:hAnsi="Calibri"/>
                <w:i/>
                <w:color w:val="C00000"/>
                <w:szCs w:val="22"/>
              </w:rPr>
              <w:t>Describe the proposed structure and format of the PEFA report, including annexes. Indicate whether the report follows the approved format set out in the PEFA 2016 framework document and highlight any additional content or other adjustments.</w:t>
            </w:r>
          </w:p>
          <w:p w:rsidR="00FF0149" w:rsidRPr="00B74EC5" w:rsidRDefault="00FF0149" w:rsidP="003164D5">
            <w:pPr>
              <w:jc w:val="left"/>
              <w:rPr>
                <w:rFonts w:ascii="Calibri" w:hAnsi="Calibri"/>
                <w:i/>
                <w:color w:val="C00000"/>
                <w:szCs w:val="22"/>
              </w:rPr>
            </w:pPr>
          </w:p>
          <w:p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Specify who will be the principal recipient of the final report, noting that the government will be the owner of the final product. </w:t>
            </w:r>
          </w:p>
          <w:p w:rsidR="00FF0149" w:rsidRPr="00B74EC5" w:rsidRDefault="00FF0149" w:rsidP="003164D5">
            <w:pPr>
              <w:jc w:val="left"/>
              <w:rPr>
                <w:rFonts w:ascii="Calibri" w:hAnsi="Calibri"/>
                <w:i/>
                <w:color w:val="C00000"/>
                <w:szCs w:val="22"/>
              </w:rPr>
            </w:pPr>
          </w:p>
          <w:p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Note whether the report will be published and, if not, an explanation of why not.  </w:t>
            </w:r>
          </w:p>
          <w:p w:rsidR="00FF0149" w:rsidRPr="00B74EC5" w:rsidRDefault="00FF0149" w:rsidP="003164D5">
            <w:pPr>
              <w:jc w:val="left"/>
              <w:rPr>
                <w:rFonts w:ascii="Calibri" w:hAnsi="Calibri"/>
                <w:i/>
                <w:color w:val="C00000"/>
                <w:szCs w:val="22"/>
              </w:rPr>
            </w:pPr>
          </w:p>
          <w:p w:rsidR="00FF0149" w:rsidRPr="00B74EC5" w:rsidRDefault="00FF0149" w:rsidP="003164D5">
            <w:pPr>
              <w:jc w:val="left"/>
              <w:rPr>
                <w:rFonts w:ascii="Calibri" w:hAnsi="Calibri"/>
                <w:i/>
                <w:color w:val="C00000"/>
                <w:szCs w:val="22"/>
              </w:rPr>
            </w:pPr>
            <w:r w:rsidRPr="00B74EC5">
              <w:rPr>
                <w:rFonts w:ascii="Calibri" w:hAnsi="Calibri"/>
                <w:i/>
                <w:color w:val="C00000"/>
                <w:szCs w:val="22"/>
              </w:rPr>
              <w:t>Arrangements for publication and dissemination of the report should also be included here.</w:t>
            </w:r>
          </w:p>
          <w:p w:rsidR="00FF0149" w:rsidRPr="00740CED" w:rsidRDefault="00FF0149" w:rsidP="003164D5">
            <w:pPr>
              <w:jc w:val="left"/>
              <w:rPr>
                <w:rFonts w:ascii="Calibri" w:hAnsi="Calibri"/>
                <w:i/>
                <w:color w:val="C00000"/>
                <w:szCs w:val="22"/>
              </w:rPr>
            </w:pPr>
          </w:p>
          <w:p w:rsidR="00FF0149" w:rsidRPr="002D2A4F" w:rsidRDefault="00FF0149" w:rsidP="003164D5">
            <w:pPr>
              <w:jc w:val="left"/>
              <w:rPr>
                <w:rFonts w:ascii="Calibri" w:hAnsi="Calibri"/>
                <w:i/>
                <w:color w:val="C00000"/>
                <w:szCs w:val="22"/>
              </w:rPr>
            </w:pPr>
            <w:r w:rsidRPr="002D2A4F">
              <w:rPr>
                <w:rFonts w:ascii="Calibri" w:hAnsi="Calibri"/>
                <w:i/>
                <w:color w:val="C00000"/>
                <w:szCs w:val="22"/>
              </w:rPr>
              <w:br/>
            </w:r>
          </w:p>
          <w:p w:rsidR="00FF0149" w:rsidRDefault="00FF0149" w:rsidP="003164D5">
            <w:pPr>
              <w:jc w:val="left"/>
              <w:rPr>
                <w:rFonts w:ascii="Calibri" w:hAnsi="Calibri"/>
                <w:color w:val="C00000"/>
                <w:sz w:val="18"/>
                <w:szCs w:val="18"/>
              </w:rPr>
            </w:pPr>
          </w:p>
          <w:p w:rsidR="00FF0149" w:rsidRDefault="00FF0149" w:rsidP="003164D5">
            <w:pPr>
              <w:jc w:val="left"/>
              <w:rPr>
                <w:rFonts w:ascii="Calibri" w:hAnsi="Calibri"/>
                <w:color w:val="C00000"/>
                <w:sz w:val="18"/>
                <w:szCs w:val="18"/>
              </w:rPr>
            </w:pPr>
          </w:p>
          <w:p w:rsidR="00FF0149" w:rsidRDefault="00FF0149" w:rsidP="003164D5">
            <w:pPr>
              <w:jc w:val="left"/>
              <w:rPr>
                <w:rFonts w:ascii="Calibri" w:hAnsi="Calibri"/>
                <w:color w:val="C00000"/>
                <w:sz w:val="18"/>
                <w:szCs w:val="18"/>
              </w:rPr>
            </w:pPr>
          </w:p>
          <w:p w:rsidR="00FF0149" w:rsidRDefault="00FF0149" w:rsidP="003164D5">
            <w:pPr>
              <w:jc w:val="left"/>
              <w:rPr>
                <w:rFonts w:ascii="Calibri" w:hAnsi="Calibri"/>
                <w:color w:val="C00000"/>
                <w:sz w:val="18"/>
                <w:szCs w:val="18"/>
              </w:rPr>
            </w:pPr>
          </w:p>
          <w:p w:rsidR="00FF0149" w:rsidRDefault="00FF0149" w:rsidP="003164D5">
            <w:pPr>
              <w:jc w:val="left"/>
              <w:rPr>
                <w:rFonts w:ascii="Calibri" w:hAnsi="Calibri"/>
                <w:color w:val="C00000"/>
                <w:sz w:val="18"/>
                <w:szCs w:val="18"/>
              </w:rPr>
            </w:pPr>
          </w:p>
          <w:p w:rsidR="00FF0149" w:rsidRDefault="00FF0149" w:rsidP="003164D5">
            <w:pPr>
              <w:jc w:val="left"/>
              <w:rPr>
                <w:rFonts w:ascii="Calibri" w:hAnsi="Calibri"/>
                <w:color w:val="C00000"/>
                <w:sz w:val="18"/>
                <w:szCs w:val="18"/>
              </w:rPr>
            </w:pPr>
          </w:p>
          <w:p w:rsidR="00FF0149" w:rsidRDefault="00FF0149" w:rsidP="003164D5">
            <w:pPr>
              <w:jc w:val="left"/>
              <w:rPr>
                <w:rFonts w:ascii="Calibri" w:hAnsi="Calibri"/>
                <w:color w:val="C00000"/>
                <w:sz w:val="18"/>
                <w:szCs w:val="18"/>
              </w:rPr>
            </w:pPr>
          </w:p>
          <w:p w:rsidR="00FF0149" w:rsidRDefault="00FF0149" w:rsidP="003164D5">
            <w:pPr>
              <w:jc w:val="left"/>
              <w:rPr>
                <w:rFonts w:ascii="Calibri" w:hAnsi="Calibri"/>
                <w:color w:val="C00000"/>
                <w:sz w:val="18"/>
                <w:szCs w:val="18"/>
              </w:rPr>
            </w:pPr>
          </w:p>
          <w:p w:rsidR="00FF0149" w:rsidRPr="002D2A4F" w:rsidRDefault="00FF0149" w:rsidP="003164D5">
            <w:pPr>
              <w:jc w:val="left"/>
              <w:rPr>
                <w:rFonts w:ascii="Calibri" w:hAnsi="Calibri"/>
                <w:color w:val="C00000"/>
                <w:sz w:val="18"/>
                <w:szCs w:val="18"/>
              </w:rPr>
            </w:pPr>
          </w:p>
        </w:tc>
      </w:tr>
      <w:tr w:rsidR="00FF0149" w:rsidRPr="002D2A4F" w:rsidTr="003164D5">
        <w:trPr>
          <w:trHeight w:val="20"/>
        </w:trPr>
        <w:tc>
          <w:tcPr>
            <w:tcW w:w="10177" w:type="dxa"/>
            <w:tcBorders>
              <w:top w:val="single" w:sz="4" w:space="0" w:color="auto"/>
              <w:left w:val="nil"/>
              <w:bottom w:val="nil"/>
              <w:right w:val="nil"/>
            </w:tcBorders>
            <w:tcMar>
              <w:top w:w="0" w:type="dxa"/>
              <w:left w:w="108" w:type="dxa"/>
              <w:bottom w:w="0" w:type="dxa"/>
              <w:right w:w="108" w:type="dxa"/>
            </w:tcMar>
          </w:tcPr>
          <w:p w:rsidR="00FF0149" w:rsidRDefault="00FF0149" w:rsidP="003164D5">
            <w:pPr>
              <w:jc w:val="left"/>
              <w:rPr>
                <w:rFonts w:ascii="Calibri" w:hAnsi="Calibri"/>
                <w:i/>
                <w:color w:val="C00000"/>
                <w:szCs w:val="22"/>
              </w:rPr>
            </w:pPr>
          </w:p>
        </w:tc>
      </w:tr>
      <w:tr w:rsidR="00FF0149" w:rsidRPr="002D2A4F"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rsidR="00FF0149" w:rsidRPr="0060416A" w:rsidRDefault="00A7656B" w:rsidP="00A7656B">
            <w:pPr>
              <w:ind w:firstLine="425"/>
              <w:rPr>
                <w:i/>
                <w:color w:val="C00000"/>
                <w:szCs w:val="22"/>
              </w:rPr>
            </w:pPr>
            <w:r>
              <w:rPr>
                <w:b/>
                <w:color w:val="244061" w:themeColor="accent1" w:themeShade="80"/>
                <w:sz w:val="24"/>
              </w:rPr>
              <w:t xml:space="preserve">5.3 </w:t>
            </w:r>
            <w:r w:rsidR="00FF0149" w:rsidRPr="00A7656B">
              <w:rPr>
                <w:b/>
                <w:color w:val="244061" w:themeColor="accent1" w:themeShade="80"/>
                <w:sz w:val="24"/>
              </w:rPr>
              <w:t>Quality Assurance</w:t>
            </w:r>
          </w:p>
        </w:tc>
      </w:tr>
      <w:tr w:rsidR="00FF0149" w:rsidRPr="002D2A4F"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B74EC5" w:rsidRDefault="00FF0149" w:rsidP="003164D5">
            <w:pPr>
              <w:jc w:val="left"/>
              <w:rPr>
                <w:rFonts w:ascii="Calibri" w:hAnsi="Calibri"/>
                <w:i/>
                <w:color w:val="C00000"/>
                <w:szCs w:val="22"/>
              </w:rPr>
            </w:pPr>
            <w:r w:rsidRPr="00B74EC5">
              <w:rPr>
                <w:rFonts w:ascii="Calibri" w:hAnsi="Calibri"/>
                <w:i/>
                <w:color w:val="C00000"/>
                <w:szCs w:val="22"/>
              </w:rPr>
              <w:t>Describe the proposed approach for disseminating and reviewing the quality of the draft CN/ToRs and draft and final PEFA reports.</w:t>
            </w:r>
          </w:p>
          <w:p w:rsidR="00FF0149" w:rsidRPr="00B74EC5" w:rsidRDefault="00FF0149" w:rsidP="003164D5">
            <w:pPr>
              <w:jc w:val="left"/>
              <w:rPr>
                <w:rFonts w:ascii="Calibri" w:hAnsi="Calibri"/>
                <w:i/>
                <w:color w:val="C00000"/>
                <w:szCs w:val="22"/>
              </w:rPr>
            </w:pPr>
          </w:p>
          <w:p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Summarize the process being followed to attain the PEFA check including proposed reviewers and indicative timeline.  </w:t>
            </w:r>
          </w:p>
          <w:p w:rsidR="00FF0149" w:rsidRPr="00B74EC5" w:rsidRDefault="00FF0149" w:rsidP="003164D5">
            <w:pPr>
              <w:jc w:val="left"/>
              <w:rPr>
                <w:rFonts w:ascii="Calibri" w:hAnsi="Calibri"/>
                <w:i/>
                <w:color w:val="C00000"/>
                <w:szCs w:val="22"/>
              </w:rPr>
            </w:pPr>
          </w:p>
          <w:p w:rsidR="00FF0149" w:rsidRPr="00B74EC5" w:rsidRDefault="00FF0149" w:rsidP="003164D5">
            <w:pPr>
              <w:jc w:val="left"/>
              <w:rPr>
                <w:rFonts w:ascii="Calibri" w:hAnsi="Calibri"/>
                <w:i/>
                <w:color w:val="C00000"/>
                <w:szCs w:val="22"/>
              </w:rPr>
            </w:pPr>
            <w:r w:rsidRPr="00B74EC5">
              <w:rPr>
                <w:rFonts w:ascii="Calibri" w:hAnsi="Calibri"/>
                <w:i/>
                <w:color w:val="C00000"/>
                <w:szCs w:val="22"/>
              </w:rPr>
              <w:t>Note: For the PEFA Check a minimum of four reviewers from different organizations is required. One of the reviewers must be the government and one reviewer must be the PEFA Secretariat.  Other reviewers may include other stakeholders including development partners and civil society organizations.</w:t>
            </w: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tc>
      </w:tr>
      <w:tr w:rsidR="00FF0149" w:rsidRPr="002D2A4F" w:rsidTr="003164D5">
        <w:trPr>
          <w:trHeight w:val="20"/>
        </w:trPr>
        <w:tc>
          <w:tcPr>
            <w:tcW w:w="10177" w:type="dxa"/>
            <w:tcBorders>
              <w:top w:val="single" w:sz="4" w:space="0" w:color="auto"/>
              <w:left w:val="nil"/>
              <w:bottom w:val="nil"/>
              <w:right w:val="nil"/>
            </w:tcBorders>
            <w:tcMar>
              <w:top w:w="0" w:type="dxa"/>
              <w:left w:w="108" w:type="dxa"/>
              <w:bottom w:w="0" w:type="dxa"/>
              <w:right w:w="108" w:type="dxa"/>
            </w:tcMar>
          </w:tcPr>
          <w:p w:rsidR="00FF0149" w:rsidRDefault="00FF0149" w:rsidP="003164D5">
            <w:pPr>
              <w:jc w:val="left"/>
              <w:rPr>
                <w:rFonts w:ascii="Calibri" w:hAnsi="Calibri"/>
                <w:i/>
                <w:color w:val="C00000"/>
                <w:szCs w:val="22"/>
              </w:rPr>
            </w:pPr>
          </w:p>
        </w:tc>
      </w:tr>
    </w:tbl>
    <w:p w:rsidR="00A7656B" w:rsidRDefault="00A7656B">
      <w:r>
        <w:br w:type="page"/>
      </w:r>
    </w:p>
    <w:tbl>
      <w:tblPr>
        <w:tblStyle w:val="TableGrid4"/>
        <w:tblW w:w="10177" w:type="dxa"/>
        <w:tblInd w:w="-7" w:type="dxa"/>
        <w:tblCellMar>
          <w:left w:w="115" w:type="dxa"/>
          <w:right w:w="115" w:type="dxa"/>
        </w:tblCellMar>
        <w:tblLook w:val="04A0" w:firstRow="1" w:lastRow="0" w:firstColumn="1" w:lastColumn="0" w:noHBand="0" w:noVBand="1"/>
      </w:tblPr>
      <w:tblGrid>
        <w:gridCol w:w="10177"/>
      </w:tblGrid>
      <w:tr w:rsidR="00FF0149" w:rsidRPr="002D2A4F" w:rsidTr="003164D5">
        <w:trPr>
          <w:trHeight w:val="20"/>
        </w:trPr>
        <w:tc>
          <w:tcPr>
            <w:tcW w:w="10177" w:type="dxa"/>
            <w:tcBorders>
              <w:top w:val="nil"/>
              <w:left w:val="nil"/>
              <w:bottom w:val="single" w:sz="4" w:space="0" w:color="auto"/>
              <w:right w:val="nil"/>
            </w:tcBorders>
            <w:tcMar>
              <w:top w:w="0" w:type="dxa"/>
              <w:left w:w="108" w:type="dxa"/>
              <w:bottom w:w="0" w:type="dxa"/>
              <w:right w:w="108" w:type="dxa"/>
            </w:tcMar>
          </w:tcPr>
          <w:p w:rsidR="00FF0149" w:rsidRPr="0060416A" w:rsidRDefault="00FF0149" w:rsidP="00947524">
            <w:pPr>
              <w:ind w:firstLine="425"/>
              <w:rPr>
                <w:i/>
                <w:color w:val="C00000"/>
                <w:szCs w:val="22"/>
              </w:rPr>
            </w:pPr>
            <w:r w:rsidRPr="00A7656B">
              <w:rPr>
                <w:b/>
                <w:color w:val="244061" w:themeColor="accent1" w:themeShade="80"/>
                <w:sz w:val="24"/>
              </w:rPr>
              <w:lastRenderedPageBreak/>
              <w:t xml:space="preserve"> </w:t>
            </w:r>
            <w:r w:rsidR="00A7656B">
              <w:rPr>
                <w:b/>
                <w:color w:val="244061" w:themeColor="accent1" w:themeShade="80"/>
                <w:sz w:val="24"/>
              </w:rPr>
              <w:t xml:space="preserve">5.4 </w:t>
            </w:r>
            <w:r w:rsidRPr="00A7656B">
              <w:rPr>
                <w:b/>
                <w:color w:val="244061" w:themeColor="accent1" w:themeShade="80"/>
                <w:sz w:val="24"/>
              </w:rPr>
              <w:t xml:space="preserve">PEFA assessment findings and </w:t>
            </w:r>
            <w:r w:rsidR="00947524">
              <w:rPr>
                <w:b/>
                <w:color w:val="244061" w:themeColor="accent1" w:themeShade="80"/>
                <w:sz w:val="24"/>
              </w:rPr>
              <w:t>PFM reform</w:t>
            </w:r>
          </w:p>
        </w:tc>
      </w:tr>
      <w:tr w:rsidR="00FF0149" w:rsidRPr="002D2A4F" w:rsidTr="003164D5">
        <w:trPr>
          <w:trHeight w:val="20"/>
        </w:trPr>
        <w:tc>
          <w:tcPr>
            <w:tcW w:w="10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149" w:rsidRPr="00B74EC5" w:rsidRDefault="00FF0149" w:rsidP="003164D5">
            <w:pPr>
              <w:jc w:val="left"/>
              <w:rPr>
                <w:rFonts w:ascii="Calibri" w:hAnsi="Calibri"/>
                <w:i/>
                <w:color w:val="C00000"/>
                <w:szCs w:val="22"/>
              </w:rPr>
            </w:pPr>
            <w:r w:rsidRPr="00B74EC5">
              <w:rPr>
                <w:rFonts w:ascii="Calibri" w:hAnsi="Calibri"/>
                <w:i/>
                <w:color w:val="C00000"/>
                <w:szCs w:val="22"/>
              </w:rPr>
              <w:t>Describe arrangements for discussion of the findings and policy implications of the draft and final reports within government.</w:t>
            </w:r>
          </w:p>
          <w:p w:rsidR="00FF0149" w:rsidRPr="00B74EC5" w:rsidRDefault="00FF0149" w:rsidP="003164D5">
            <w:pPr>
              <w:jc w:val="left"/>
              <w:rPr>
                <w:rFonts w:ascii="Calibri" w:hAnsi="Calibri"/>
                <w:i/>
                <w:color w:val="C00000"/>
                <w:szCs w:val="22"/>
              </w:rPr>
            </w:pPr>
          </w:p>
          <w:p w:rsidR="00FF0149" w:rsidRPr="00B74EC5" w:rsidRDefault="00FF0149" w:rsidP="003164D5">
            <w:pPr>
              <w:jc w:val="left"/>
              <w:rPr>
                <w:rFonts w:ascii="Calibri" w:hAnsi="Calibri"/>
                <w:i/>
                <w:color w:val="C00000"/>
                <w:szCs w:val="22"/>
              </w:rPr>
            </w:pPr>
            <w:r w:rsidRPr="00B74EC5">
              <w:rPr>
                <w:rFonts w:ascii="Calibri" w:hAnsi="Calibri"/>
                <w:i/>
                <w:color w:val="C00000"/>
                <w:szCs w:val="22"/>
              </w:rPr>
              <w:t xml:space="preserve">Explain the proposed process for linking the findings with a PFM reform dialogue to address policy development, prioritization and monitoring.   </w:t>
            </w:r>
          </w:p>
          <w:p w:rsidR="00FF0149" w:rsidRPr="00B74EC5" w:rsidRDefault="00FF0149" w:rsidP="003164D5">
            <w:pPr>
              <w:jc w:val="left"/>
              <w:rPr>
                <w:rFonts w:ascii="Calibri" w:hAnsi="Calibri"/>
                <w:i/>
                <w:color w:val="C00000"/>
                <w:szCs w:val="22"/>
              </w:rPr>
            </w:pPr>
          </w:p>
          <w:p w:rsidR="00FF0149" w:rsidRPr="00B74EC5" w:rsidRDefault="00FF0149" w:rsidP="003164D5">
            <w:pPr>
              <w:jc w:val="left"/>
              <w:rPr>
                <w:rFonts w:ascii="Calibri" w:hAnsi="Calibri"/>
                <w:i/>
                <w:color w:val="C00000"/>
                <w:szCs w:val="22"/>
              </w:rPr>
            </w:pPr>
            <w:r w:rsidRPr="00B74EC5">
              <w:rPr>
                <w:rFonts w:ascii="Calibri" w:hAnsi="Calibri"/>
                <w:i/>
                <w:color w:val="C00000"/>
                <w:szCs w:val="22"/>
              </w:rPr>
              <w:t>Identify the main stakeholders for such a dialogue.</w:t>
            </w: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p w:rsidR="00FF0149" w:rsidRDefault="00FF0149" w:rsidP="003164D5">
            <w:pPr>
              <w:jc w:val="left"/>
              <w:rPr>
                <w:rFonts w:ascii="Calibri" w:hAnsi="Calibri"/>
                <w:i/>
                <w:color w:val="C00000"/>
                <w:szCs w:val="22"/>
              </w:rPr>
            </w:pPr>
          </w:p>
        </w:tc>
      </w:tr>
    </w:tbl>
    <w:p w:rsidR="00FF0149" w:rsidRDefault="00FF0149" w:rsidP="00FF0149"/>
    <w:p w:rsidR="00FF0149" w:rsidRPr="00F16DDB" w:rsidRDefault="00FF0149" w:rsidP="00FF0149">
      <w:pPr>
        <w:tabs>
          <w:tab w:val="left" w:pos="360"/>
        </w:tabs>
        <w:jc w:val="left"/>
        <w:rPr>
          <w:b/>
          <w:sz w:val="28"/>
          <w:szCs w:val="28"/>
          <w:u w:val="single"/>
        </w:rPr>
      </w:pPr>
      <w:r w:rsidRPr="00F16DDB">
        <w:rPr>
          <w:b/>
          <w:sz w:val="28"/>
          <w:szCs w:val="28"/>
          <w:u w:val="single"/>
        </w:rPr>
        <w:t xml:space="preserve"> </w:t>
      </w:r>
    </w:p>
    <w:p w:rsidR="00FC54B1" w:rsidRPr="00D47439" w:rsidRDefault="00FC54B1" w:rsidP="00D47439">
      <w:pPr>
        <w:jc w:val="left"/>
        <w:rPr>
          <w:b/>
          <w:sz w:val="40"/>
          <w:szCs w:val="40"/>
        </w:rPr>
      </w:pPr>
    </w:p>
    <w:sectPr w:rsidR="00FC54B1" w:rsidRPr="00D47439" w:rsidSect="00686FBD">
      <w:footerReference w:type="default" r:id="rId9"/>
      <w:headerReference w:type="first" r:id="rId10"/>
      <w:type w:val="continuous"/>
      <w:pgSz w:w="12240" w:h="15840" w:code="1"/>
      <w:pgMar w:top="1440" w:right="99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44" w:rsidRDefault="00362244">
      <w:r>
        <w:separator/>
      </w:r>
    </w:p>
  </w:endnote>
  <w:endnote w:type="continuationSeparator" w:id="0">
    <w:p w:rsidR="00362244" w:rsidRDefault="00362244">
      <w:r>
        <w:continuationSeparator/>
      </w:r>
    </w:p>
  </w:endnote>
  <w:endnote w:type="continuationNotice" w:id="1">
    <w:p w:rsidR="00362244" w:rsidRDefault="00362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38349"/>
      <w:docPartObj>
        <w:docPartGallery w:val="Page Numbers (Bottom of Page)"/>
        <w:docPartUnique/>
      </w:docPartObj>
    </w:sdtPr>
    <w:sdtEndPr>
      <w:rPr>
        <w:noProof/>
      </w:rPr>
    </w:sdtEndPr>
    <w:sdtContent>
      <w:p w:rsidR="0058109F" w:rsidRDefault="0058109F">
        <w:pPr>
          <w:pStyle w:val="Footer"/>
          <w:jc w:val="right"/>
        </w:pPr>
        <w:r>
          <w:fldChar w:fldCharType="begin"/>
        </w:r>
        <w:r>
          <w:instrText xml:space="preserve"> PAGE   \* MERGEFORMAT </w:instrText>
        </w:r>
        <w:r>
          <w:fldChar w:fldCharType="separate"/>
        </w:r>
        <w:r w:rsidR="00CF3D22">
          <w:rPr>
            <w:noProof/>
          </w:rPr>
          <w:t>2</w:t>
        </w:r>
        <w:r>
          <w:rPr>
            <w:noProof/>
          </w:rPr>
          <w:fldChar w:fldCharType="end"/>
        </w:r>
      </w:p>
    </w:sdtContent>
  </w:sdt>
  <w:p w:rsidR="0058109F" w:rsidRDefault="0058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44" w:rsidRDefault="00362244">
      <w:r>
        <w:separator/>
      </w:r>
    </w:p>
  </w:footnote>
  <w:footnote w:type="continuationSeparator" w:id="0">
    <w:p w:rsidR="00362244" w:rsidRDefault="00362244">
      <w:r>
        <w:continuationSeparator/>
      </w:r>
    </w:p>
  </w:footnote>
  <w:footnote w:type="continuationNotice" w:id="1">
    <w:p w:rsidR="00362244" w:rsidRDefault="00362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6E" w:rsidRDefault="0047146E">
    <w:pPr>
      <w:pStyle w:val="Header"/>
    </w:pPr>
    <w:r>
      <w:rPr>
        <w:b/>
        <w:noProof/>
        <w:sz w:val="40"/>
        <w:szCs w:val="40"/>
      </w:rPr>
      <w:drawing>
        <wp:inline distT="0" distB="0" distL="0" distR="0" wp14:anchorId="189B0D35" wp14:editId="0F565BC9">
          <wp:extent cx="1264574" cy="643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330123" cy="677093"/>
                  </a:xfrm>
                  <a:prstGeom prst="rect">
                    <a:avLst/>
                  </a:prstGeom>
                </pic:spPr>
              </pic:pic>
            </a:graphicData>
          </a:graphic>
        </wp:inline>
      </w:drawing>
    </w:r>
  </w:p>
  <w:p w:rsidR="0047146E" w:rsidRDefault="0047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3133B"/>
    <w:multiLevelType w:val="multilevel"/>
    <w:tmpl w:val="E5F6BF0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7774B5"/>
    <w:multiLevelType w:val="hybridMultilevel"/>
    <w:tmpl w:val="24FC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C498E"/>
    <w:multiLevelType w:val="hybridMultilevel"/>
    <w:tmpl w:val="D500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7773D"/>
    <w:multiLevelType w:val="multilevel"/>
    <w:tmpl w:val="3BEC3CD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9F05DF"/>
    <w:multiLevelType w:val="multilevel"/>
    <w:tmpl w:val="0D6646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D32CB9"/>
    <w:multiLevelType w:val="hybridMultilevel"/>
    <w:tmpl w:val="C2D0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104CC"/>
    <w:multiLevelType w:val="hybridMultilevel"/>
    <w:tmpl w:val="87D69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31167"/>
    <w:multiLevelType w:val="hybridMultilevel"/>
    <w:tmpl w:val="83C0E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92EBF"/>
    <w:multiLevelType w:val="multilevel"/>
    <w:tmpl w:val="0330A718"/>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8793E"/>
    <w:multiLevelType w:val="hybridMultilevel"/>
    <w:tmpl w:val="B20CF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D74E5C"/>
    <w:multiLevelType w:val="hybridMultilevel"/>
    <w:tmpl w:val="ADB8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B374D"/>
    <w:multiLevelType w:val="hybridMultilevel"/>
    <w:tmpl w:val="3476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0753F"/>
    <w:multiLevelType w:val="multilevel"/>
    <w:tmpl w:val="B6AA0BA4"/>
    <w:lvl w:ilvl="0">
      <w:start w:val="4"/>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A84DB6"/>
    <w:multiLevelType w:val="hybridMultilevel"/>
    <w:tmpl w:val="205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240FC"/>
    <w:multiLevelType w:val="hybridMultilevel"/>
    <w:tmpl w:val="A2D0B792"/>
    <w:lvl w:ilvl="0" w:tplc="04090003">
      <w:start w:val="1"/>
      <w:numFmt w:val="bullet"/>
      <w:lvlText w:val="o"/>
      <w:lvlJc w:val="left"/>
      <w:pPr>
        <w:ind w:left="1646" w:hanging="360"/>
      </w:pPr>
      <w:rPr>
        <w:rFonts w:ascii="Courier New" w:hAnsi="Courier New" w:cs="Courier New"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7" w15:restartNumberingAfterBreak="0">
    <w:nsid w:val="30236C42"/>
    <w:multiLevelType w:val="hybridMultilevel"/>
    <w:tmpl w:val="A4049E68"/>
    <w:lvl w:ilvl="0" w:tplc="42B8FD4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7B43C5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F605F"/>
    <w:multiLevelType w:val="hybridMultilevel"/>
    <w:tmpl w:val="DB0849C2"/>
    <w:lvl w:ilvl="0" w:tplc="04090017">
      <w:start w:val="1"/>
      <w:numFmt w:val="lowerLetter"/>
      <w:lvlText w:val="%1)"/>
      <w:lvlJc w:val="left"/>
      <w:pPr>
        <w:ind w:left="882" w:hanging="360"/>
      </w:pPr>
      <w:rPr>
        <w:rFonts w:hint="default"/>
      </w:rPr>
    </w:lvl>
    <w:lvl w:ilvl="1" w:tplc="04090001">
      <w:start w:val="1"/>
      <w:numFmt w:val="bullet"/>
      <w:lvlText w:val=""/>
      <w:lvlJc w:val="left"/>
      <w:pPr>
        <w:ind w:left="1602" w:hanging="360"/>
      </w:pPr>
      <w:rPr>
        <w:rFonts w:ascii="Symbol" w:hAnsi="Symbo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372A7E1D"/>
    <w:multiLevelType w:val="multilevel"/>
    <w:tmpl w:val="082A87CA"/>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C04F2E"/>
    <w:multiLevelType w:val="hybridMultilevel"/>
    <w:tmpl w:val="72A21F8A"/>
    <w:lvl w:ilvl="0" w:tplc="5B9ABCD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6A4B90"/>
    <w:multiLevelType w:val="hybridMultilevel"/>
    <w:tmpl w:val="3C3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12B69"/>
    <w:multiLevelType w:val="hybridMultilevel"/>
    <w:tmpl w:val="0FC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444F"/>
    <w:multiLevelType w:val="multilevel"/>
    <w:tmpl w:val="AD38AF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BC7BA5"/>
    <w:multiLevelType w:val="multilevel"/>
    <w:tmpl w:val="8856BCC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02" w:hanging="432"/>
      </w:pPr>
      <w:rPr>
        <w:rFonts w:ascii="Calibri" w:hAnsi="Calibri" w:hint="default"/>
        <w:b/>
        <w:color w:val="002060"/>
        <w:sz w:val="28"/>
        <w:szCs w:val="28"/>
      </w:rPr>
    </w:lvl>
    <w:lvl w:ilvl="2">
      <w:start w:val="1"/>
      <w:numFmt w:val="decimal"/>
      <w:lvlText w:val="%1.%2.%3."/>
      <w:lvlJc w:val="left"/>
      <w:pPr>
        <w:ind w:left="1224" w:hanging="504"/>
      </w:pPr>
      <w:rPr>
        <w:rFonts w:hint="default"/>
        <w:color w:val="00206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2527A7"/>
    <w:multiLevelType w:val="hybridMultilevel"/>
    <w:tmpl w:val="EE7CC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110427"/>
    <w:multiLevelType w:val="multilevel"/>
    <w:tmpl w:val="D16EE4FE"/>
    <w:lvl w:ilvl="0">
      <w:start w:val="6"/>
      <w:numFmt w:val="decimal"/>
      <w:lvlText w:val="%1"/>
      <w:lvlJc w:val="left"/>
      <w:pPr>
        <w:ind w:left="420" w:hanging="420"/>
      </w:pPr>
      <w:rPr>
        <w:rFonts w:hint="default"/>
      </w:rPr>
    </w:lvl>
    <w:lvl w:ilvl="1">
      <w:start w:val="1"/>
      <w:numFmt w:val="decimal"/>
      <w:lvlText w:val="%1.%2"/>
      <w:lvlJc w:val="left"/>
      <w:pPr>
        <w:ind w:left="720" w:hanging="720"/>
      </w:pPr>
      <w:rPr>
        <w:rFonts w:asciiTheme="minorHAnsi" w:hAnsiTheme="minorHAnsi"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1D5F92"/>
    <w:multiLevelType w:val="multilevel"/>
    <w:tmpl w:val="5E566C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DB373F"/>
    <w:multiLevelType w:val="hybridMultilevel"/>
    <w:tmpl w:val="8300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2524F7"/>
    <w:multiLevelType w:val="hybridMultilevel"/>
    <w:tmpl w:val="A24E1302"/>
    <w:lvl w:ilvl="0" w:tplc="04090003">
      <w:start w:val="1"/>
      <w:numFmt w:val="bullet"/>
      <w:lvlText w:val="o"/>
      <w:lvlJc w:val="left"/>
      <w:pPr>
        <w:ind w:left="546" w:hanging="360"/>
      </w:pPr>
      <w:rPr>
        <w:rFonts w:ascii="Courier New" w:hAnsi="Courier New" w:cs="Courier New"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30" w15:restartNumberingAfterBreak="0">
    <w:nsid w:val="544F2D9B"/>
    <w:multiLevelType w:val="multilevel"/>
    <w:tmpl w:val="8F0C236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D24315"/>
    <w:multiLevelType w:val="multilevel"/>
    <w:tmpl w:val="5C2C6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8050FB"/>
    <w:multiLevelType w:val="hybridMultilevel"/>
    <w:tmpl w:val="C5B078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C16010"/>
    <w:multiLevelType w:val="multilevel"/>
    <w:tmpl w:val="0E08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312167"/>
    <w:multiLevelType w:val="hybridMultilevel"/>
    <w:tmpl w:val="35FC8F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C34BF2"/>
    <w:multiLevelType w:val="hybridMultilevel"/>
    <w:tmpl w:val="9664EB32"/>
    <w:lvl w:ilvl="0" w:tplc="04090001">
      <w:start w:val="1"/>
      <w:numFmt w:val="bullet"/>
      <w:lvlText w:val=""/>
      <w:lvlJc w:val="left"/>
      <w:pPr>
        <w:ind w:left="638" w:hanging="360"/>
      </w:pPr>
      <w:rPr>
        <w:rFonts w:ascii="Symbol" w:hAnsi="Symbol" w:hint="default"/>
      </w:rPr>
    </w:lvl>
    <w:lvl w:ilvl="1" w:tplc="04090003">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6" w15:restartNumberingAfterBreak="0">
    <w:nsid w:val="663252D9"/>
    <w:multiLevelType w:val="hybridMultilevel"/>
    <w:tmpl w:val="0F385CAA"/>
    <w:lvl w:ilvl="0" w:tplc="04090001">
      <w:start w:val="1"/>
      <w:numFmt w:val="bullet"/>
      <w:lvlText w:val=""/>
      <w:lvlJc w:val="left"/>
      <w:pPr>
        <w:ind w:left="27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7" w15:restartNumberingAfterBreak="0">
    <w:nsid w:val="6CBB23C9"/>
    <w:multiLevelType w:val="hybridMultilevel"/>
    <w:tmpl w:val="7F58BF4E"/>
    <w:lvl w:ilvl="0" w:tplc="F1A4DBBE">
      <w:start w:val="1"/>
      <w:numFmt w:val="decimal"/>
      <w:lvlText w:val="%1."/>
      <w:lvlJc w:val="left"/>
      <w:pPr>
        <w:ind w:left="720" w:hanging="360"/>
      </w:pPr>
      <w:rPr>
        <w:color w:val="244061" w:themeColor="accent1" w:themeShade="8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13447"/>
    <w:multiLevelType w:val="multilevel"/>
    <w:tmpl w:val="0D6646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2F6582"/>
    <w:multiLevelType w:val="hybridMultilevel"/>
    <w:tmpl w:val="6EFAE6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612B0A"/>
    <w:multiLevelType w:val="hybridMultilevel"/>
    <w:tmpl w:val="D5F2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602E0A"/>
    <w:multiLevelType w:val="hybridMultilevel"/>
    <w:tmpl w:val="ADC62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2933A2"/>
    <w:multiLevelType w:val="multilevel"/>
    <w:tmpl w:val="0A18942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6267192"/>
    <w:multiLevelType w:val="hybridMultilevel"/>
    <w:tmpl w:val="7258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87E85"/>
    <w:multiLevelType w:val="hybridMultilevel"/>
    <w:tmpl w:val="2F82050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6F1518"/>
    <w:multiLevelType w:val="hybridMultilevel"/>
    <w:tmpl w:val="EECE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5D11D0"/>
    <w:multiLevelType w:val="hybridMultilevel"/>
    <w:tmpl w:val="007CE726"/>
    <w:lvl w:ilvl="0" w:tplc="86D8A58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4"/>
  </w:num>
  <w:num w:numId="2">
    <w:abstractNumId w:val="8"/>
  </w:num>
  <w:num w:numId="3">
    <w:abstractNumId w:val="32"/>
  </w:num>
  <w:num w:numId="4">
    <w:abstractNumId w:val="44"/>
  </w:num>
  <w:num w:numId="5">
    <w:abstractNumId w:val="24"/>
  </w:num>
  <w:num w:numId="6">
    <w:abstractNumId w:val="43"/>
  </w:num>
  <w:num w:numId="7">
    <w:abstractNumId w:val="0"/>
  </w:num>
  <w:num w:numId="8">
    <w:abstractNumId w:val="11"/>
  </w:num>
  <w:num w:numId="9">
    <w:abstractNumId w:val="22"/>
  </w:num>
  <w:num w:numId="10">
    <w:abstractNumId w:val="30"/>
  </w:num>
  <w:num w:numId="11">
    <w:abstractNumId w:val="7"/>
  </w:num>
  <w:num w:numId="12">
    <w:abstractNumId w:val="20"/>
  </w:num>
  <w:num w:numId="13">
    <w:abstractNumId w:val="46"/>
  </w:num>
  <w:num w:numId="14">
    <w:abstractNumId w:val="2"/>
  </w:num>
  <w:num w:numId="15">
    <w:abstractNumId w:val="13"/>
  </w:num>
  <w:num w:numId="16">
    <w:abstractNumId w:val="14"/>
  </w:num>
  <w:num w:numId="17">
    <w:abstractNumId w:val="4"/>
  </w:num>
  <w:num w:numId="18">
    <w:abstractNumId w:val="26"/>
  </w:num>
  <w:num w:numId="19">
    <w:abstractNumId w:val="1"/>
  </w:num>
  <w:num w:numId="20">
    <w:abstractNumId w:val="42"/>
  </w:num>
  <w:num w:numId="21">
    <w:abstractNumId w:val="19"/>
  </w:num>
  <w:num w:numId="22">
    <w:abstractNumId w:val="10"/>
  </w:num>
  <w:num w:numId="23">
    <w:abstractNumId w:val="41"/>
  </w:num>
  <w:num w:numId="24">
    <w:abstractNumId w:val="6"/>
  </w:num>
  <w:num w:numId="25">
    <w:abstractNumId w:val="21"/>
  </w:num>
  <w:num w:numId="26">
    <w:abstractNumId w:val="15"/>
  </w:num>
  <w:num w:numId="27">
    <w:abstractNumId w:val="12"/>
  </w:num>
  <w:num w:numId="28">
    <w:abstractNumId w:val="3"/>
  </w:num>
  <w:num w:numId="29">
    <w:abstractNumId w:val="25"/>
  </w:num>
  <w:num w:numId="30">
    <w:abstractNumId w:val="17"/>
  </w:num>
  <w:num w:numId="31">
    <w:abstractNumId w:val="18"/>
  </w:num>
  <w:num w:numId="32">
    <w:abstractNumId w:val="39"/>
  </w:num>
  <w:num w:numId="33">
    <w:abstractNumId w:val="40"/>
  </w:num>
  <w:num w:numId="34">
    <w:abstractNumId w:val="45"/>
  </w:num>
  <w:num w:numId="35">
    <w:abstractNumId w:val="37"/>
  </w:num>
  <w:num w:numId="36">
    <w:abstractNumId w:val="31"/>
  </w:num>
  <w:num w:numId="37">
    <w:abstractNumId w:val="27"/>
  </w:num>
  <w:num w:numId="38">
    <w:abstractNumId w:val="33"/>
  </w:num>
  <w:num w:numId="39">
    <w:abstractNumId w:val="23"/>
  </w:num>
  <w:num w:numId="40">
    <w:abstractNumId w:val="38"/>
  </w:num>
  <w:num w:numId="41">
    <w:abstractNumId w:val="5"/>
  </w:num>
  <w:num w:numId="42">
    <w:abstractNumId w:val="28"/>
  </w:num>
  <w:num w:numId="43">
    <w:abstractNumId w:val="9"/>
  </w:num>
  <w:num w:numId="44">
    <w:abstractNumId w:val="35"/>
  </w:num>
  <w:num w:numId="45">
    <w:abstractNumId w:val="16"/>
  </w:num>
  <w:num w:numId="46">
    <w:abstractNumId w:val="36"/>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0D"/>
    <w:rsid w:val="00000201"/>
    <w:rsid w:val="00000FA8"/>
    <w:rsid w:val="00002FFD"/>
    <w:rsid w:val="00003658"/>
    <w:rsid w:val="000039D7"/>
    <w:rsid w:val="00003BD7"/>
    <w:rsid w:val="00004368"/>
    <w:rsid w:val="00004540"/>
    <w:rsid w:val="000045FC"/>
    <w:rsid w:val="000048AC"/>
    <w:rsid w:val="00004BE9"/>
    <w:rsid w:val="000052B3"/>
    <w:rsid w:val="00005707"/>
    <w:rsid w:val="00005856"/>
    <w:rsid w:val="00005AA2"/>
    <w:rsid w:val="00006AD1"/>
    <w:rsid w:val="0000795F"/>
    <w:rsid w:val="00007A95"/>
    <w:rsid w:val="00010BCD"/>
    <w:rsid w:val="000112CE"/>
    <w:rsid w:val="00011735"/>
    <w:rsid w:val="00011E54"/>
    <w:rsid w:val="00011FDA"/>
    <w:rsid w:val="000128DC"/>
    <w:rsid w:val="000145AD"/>
    <w:rsid w:val="00015C0D"/>
    <w:rsid w:val="000164CC"/>
    <w:rsid w:val="000167AF"/>
    <w:rsid w:val="000168DF"/>
    <w:rsid w:val="00020785"/>
    <w:rsid w:val="00021947"/>
    <w:rsid w:val="00021E42"/>
    <w:rsid w:val="0002381B"/>
    <w:rsid w:val="0002400D"/>
    <w:rsid w:val="00024840"/>
    <w:rsid w:val="0002485A"/>
    <w:rsid w:val="00025A47"/>
    <w:rsid w:val="000260DA"/>
    <w:rsid w:val="000261AC"/>
    <w:rsid w:val="0003004D"/>
    <w:rsid w:val="0003076A"/>
    <w:rsid w:val="00030773"/>
    <w:rsid w:val="0003091A"/>
    <w:rsid w:val="0003170E"/>
    <w:rsid w:val="00032330"/>
    <w:rsid w:val="00032662"/>
    <w:rsid w:val="00032F3B"/>
    <w:rsid w:val="00035828"/>
    <w:rsid w:val="000366E4"/>
    <w:rsid w:val="00036AE4"/>
    <w:rsid w:val="000376FC"/>
    <w:rsid w:val="000414CC"/>
    <w:rsid w:val="00041C93"/>
    <w:rsid w:val="00042EBC"/>
    <w:rsid w:val="0004377E"/>
    <w:rsid w:val="00044401"/>
    <w:rsid w:val="00044F7E"/>
    <w:rsid w:val="0004524C"/>
    <w:rsid w:val="000457CE"/>
    <w:rsid w:val="00046190"/>
    <w:rsid w:val="000470DD"/>
    <w:rsid w:val="000474E1"/>
    <w:rsid w:val="00047AA4"/>
    <w:rsid w:val="00050390"/>
    <w:rsid w:val="00051420"/>
    <w:rsid w:val="000517D9"/>
    <w:rsid w:val="00051EF0"/>
    <w:rsid w:val="000523F4"/>
    <w:rsid w:val="00052C1B"/>
    <w:rsid w:val="00052FD7"/>
    <w:rsid w:val="00053562"/>
    <w:rsid w:val="00053D00"/>
    <w:rsid w:val="000543C5"/>
    <w:rsid w:val="000547B6"/>
    <w:rsid w:val="000550A8"/>
    <w:rsid w:val="00057485"/>
    <w:rsid w:val="00057E5B"/>
    <w:rsid w:val="00060707"/>
    <w:rsid w:val="00060AE0"/>
    <w:rsid w:val="00060BDF"/>
    <w:rsid w:val="000614BC"/>
    <w:rsid w:val="00061ED3"/>
    <w:rsid w:val="0006307C"/>
    <w:rsid w:val="00063FCB"/>
    <w:rsid w:val="00064699"/>
    <w:rsid w:val="00064B58"/>
    <w:rsid w:val="000651F1"/>
    <w:rsid w:val="00071067"/>
    <w:rsid w:val="0007126F"/>
    <w:rsid w:val="0007191E"/>
    <w:rsid w:val="00071D73"/>
    <w:rsid w:val="00074C0B"/>
    <w:rsid w:val="00074CCD"/>
    <w:rsid w:val="00074FC8"/>
    <w:rsid w:val="00074FFD"/>
    <w:rsid w:val="0007557B"/>
    <w:rsid w:val="00075ACE"/>
    <w:rsid w:val="000771E6"/>
    <w:rsid w:val="0007788E"/>
    <w:rsid w:val="000808FD"/>
    <w:rsid w:val="00080CC3"/>
    <w:rsid w:val="0008400D"/>
    <w:rsid w:val="00084ECF"/>
    <w:rsid w:val="00085144"/>
    <w:rsid w:val="00085D7C"/>
    <w:rsid w:val="000860A2"/>
    <w:rsid w:val="00087123"/>
    <w:rsid w:val="00087631"/>
    <w:rsid w:val="00087F84"/>
    <w:rsid w:val="00090146"/>
    <w:rsid w:val="00090710"/>
    <w:rsid w:val="00090BB2"/>
    <w:rsid w:val="0009128A"/>
    <w:rsid w:val="000917AB"/>
    <w:rsid w:val="000924B8"/>
    <w:rsid w:val="000925A5"/>
    <w:rsid w:val="00092852"/>
    <w:rsid w:val="000942EE"/>
    <w:rsid w:val="000952BF"/>
    <w:rsid w:val="00095839"/>
    <w:rsid w:val="00095A14"/>
    <w:rsid w:val="00095D1D"/>
    <w:rsid w:val="0009674E"/>
    <w:rsid w:val="00096BA6"/>
    <w:rsid w:val="000975E8"/>
    <w:rsid w:val="000978B7"/>
    <w:rsid w:val="000A0489"/>
    <w:rsid w:val="000A0DCD"/>
    <w:rsid w:val="000A2F97"/>
    <w:rsid w:val="000A33B3"/>
    <w:rsid w:val="000A3E31"/>
    <w:rsid w:val="000A3F39"/>
    <w:rsid w:val="000A415D"/>
    <w:rsid w:val="000A4734"/>
    <w:rsid w:val="000A49D8"/>
    <w:rsid w:val="000A5203"/>
    <w:rsid w:val="000A5FE3"/>
    <w:rsid w:val="000A6BB5"/>
    <w:rsid w:val="000A72A9"/>
    <w:rsid w:val="000A79FB"/>
    <w:rsid w:val="000B0D22"/>
    <w:rsid w:val="000B17B9"/>
    <w:rsid w:val="000B3073"/>
    <w:rsid w:val="000B33F8"/>
    <w:rsid w:val="000B38E6"/>
    <w:rsid w:val="000B3CFE"/>
    <w:rsid w:val="000B3F8B"/>
    <w:rsid w:val="000B4B86"/>
    <w:rsid w:val="000B4E0A"/>
    <w:rsid w:val="000B5187"/>
    <w:rsid w:val="000B57E4"/>
    <w:rsid w:val="000B6FF7"/>
    <w:rsid w:val="000B7298"/>
    <w:rsid w:val="000B78DE"/>
    <w:rsid w:val="000C1405"/>
    <w:rsid w:val="000C1744"/>
    <w:rsid w:val="000C1BAE"/>
    <w:rsid w:val="000C3190"/>
    <w:rsid w:val="000C440F"/>
    <w:rsid w:val="000C6615"/>
    <w:rsid w:val="000D0985"/>
    <w:rsid w:val="000D2A9E"/>
    <w:rsid w:val="000D32B1"/>
    <w:rsid w:val="000D3B2C"/>
    <w:rsid w:val="000D4523"/>
    <w:rsid w:val="000D5013"/>
    <w:rsid w:val="000D652A"/>
    <w:rsid w:val="000D6E04"/>
    <w:rsid w:val="000D7BCA"/>
    <w:rsid w:val="000E04EE"/>
    <w:rsid w:val="000E0E48"/>
    <w:rsid w:val="000E11D5"/>
    <w:rsid w:val="000E1EE1"/>
    <w:rsid w:val="000E2DAD"/>
    <w:rsid w:val="000E39BC"/>
    <w:rsid w:val="000E4C2E"/>
    <w:rsid w:val="000E64EE"/>
    <w:rsid w:val="000E6FA7"/>
    <w:rsid w:val="000E7015"/>
    <w:rsid w:val="000E7300"/>
    <w:rsid w:val="000E75AB"/>
    <w:rsid w:val="000F00CC"/>
    <w:rsid w:val="000F4661"/>
    <w:rsid w:val="000F563B"/>
    <w:rsid w:val="000F6090"/>
    <w:rsid w:val="000F60C7"/>
    <w:rsid w:val="000F716A"/>
    <w:rsid w:val="000F7673"/>
    <w:rsid w:val="001000BC"/>
    <w:rsid w:val="001011B1"/>
    <w:rsid w:val="00101340"/>
    <w:rsid w:val="0010249F"/>
    <w:rsid w:val="001032D1"/>
    <w:rsid w:val="001034F9"/>
    <w:rsid w:val="001048B0"/>
    <w:rsid w:val="001049A1"/>
    <w:rsid w:val="00104ABE"/>
    <w:rsid w:val="001058E0"/>
    <w:rsid w:val="0010627A"/>
    <w:rsid w:val="00111023"/>
    <w:rsid w:val="001121BB"/>
    <w:rsid w:val="0011544A"/>
    <w:rsid w:val="001154B5"/>
    <w:rsid w:val="00115B5A"/>
    <w:rsid w:val="001161BC"/>
    <w:rsid w:val="00116492"/>
    <w:rsid w:val="001165F1"/>
    <w:rsid w:val="00116C72"/>
    <w:rsid w:val="0011736B"/>
    <w:rsid w:val="0012007B"/>
    <w:rsid w:val="001213C0"/>
    <w:rsid w:val="0012212E"/>
    <w:rsid w:val="001223B0"/>
    <w:rsid w:val="00124DCA"/>
    <w:rsid w:val="00125258"/>
    <w:rsid w:val="00126DD6"/>
    <w:rsid w:val="001274E6"/>
    <w:rsid w:val="00127804"/>
    <w:rsid w:val="00130032"/>
    <w:rsid w:val="00130082"/>
    <w:rsid w:val="001300BF"/>
    <w:rsid w:val="00133E1A"/>
    <w:rsid w:val="0013412E"/>
    <w:rsid w:val="00134BD4"/>
    <w:rsid w:val="00135199"/>
    <w:rsid w:val="001405A0"/>
    <w:rsid w:val="00141AE7"/>
    <w:rsid w:val="00141BE6"/>
    <w:rsid w:val="00141C8D"/>
    <w:rsid w:val="00142EA0"/>
    <w:rsid w:val="00142FFE"/>
    <w:rsid w:val="00143316"/>
    <w:rsid w:val="00143392"/>
    <w:rsid w:val="00144018"/>
    <w:rsid w:val="0014405E"/>
    <w:rsid w:val="001441D5"/>
    <w:rsid w:val="001453D2"/>
    <w:rsid w:val="0014543D"/>
    <w:rsid w:val="00145D80"/>
    <w:rsid w:val="001462A2"/>
    <w:rsid w:val="00146D13"/>
    <w:rsid w:val="00147F3D"/>
    <w:rsid w:val="0015022D"/>
    <w:rsid w:val="001506B0"/>
    <w:rsid w:val="00151988"/>
    <w:rsid w:val="001536A8"/>
    <w:rsid w:val="00153E6F"/>
    <w:rsid w:val="00154181"/>
    <w:rsid w:val="00154D8A"/>
    <w:rsid w:val="00155353"/>
    <w:rsid w:val="0015572A"/>
    <w:rsid w:val="0015641B"/>
    <w:rsid w:val="001567C1"/>
    <w:rsid w:val="0015779C"/>
    <w:rsid w:val="00157BBC"/>
    <w:rsid w:val="001609BE"/>
    <w:rsid w:val="00160A92"/>
    <w:rsid w:val="00161885"/>
    <w:rsid w:val="00161CCE"/>
    <w:rsid w:val="0016237A"/>
    <w:rsid w:val="00162640"/>
    <w:rsid w:val="00162647"/>
    <w:rsid w:val="001657ED"/>
    <w:rsid w:val="001670FB"/>
    <w:rsid w:val="001673E4"/>
    <w:rsid w:val="0016773B"/>
    <w:rsid w:val="001709B2"/>
    <w:rsid w:val="00171555"/>
    <w:rsid w:val="0017199C"/>
    <w:rsid w:val="00172CCA"/>
    <w:rsid w:val="00172D26"/>
    <w:rsid w:val="00172F8B"/>
    <w:rsid w:val="00174D10"/>
    <w:rsid w:val="00174FF9"/>
    <w:rsid w:val="001758E4"/>
    <w:rsid w:val="00175C57"/>
    <w:rsid w:val="00175F16"/>
    <w:rsid w:val="00176509"/>
    <w:rsid w:val="00176852"/>
    <w:rsid w:val="0017791F"/>
    <w:rsid w:val="0017792A"/>
    <w:rsid w:val="00180090"/>
    <w:rsid w:val="0018165C"/>
    <w:rsid w:val="0018170A"/>
    <w:rsid w:val="00181922"/>
    <w:rsid w:val="0018241D"/>
    <w:rsid w:val="00182DD8"/>
    <w:rsid w:val="001835C8"/>
    <w:rsid w:val="00185449"/>
    <w:rsid w:val="00185695"/>
    <w:rsid w:val="00185BAE"/>
    <w:rsid w:val="00186469"/>
    <w:rsid w:val="00190A40"/>
    <w:rsid w:val="0019129A"/>
    <w:rsid w:val="00191725"/>
    <w:rsid w:val="0019294D"/>
    <w:rsid w:val="00192BE8"/>
    <w:rsid w:val="001933FF"/>
    <w:rsid w:val="00193E88"/>
    <w:rsid w:val="0019544A"/>
    <w:rsid w:val="00195B54"/>
    <w:rsid w:val="00197668"/>
    <w:rsid w:val="001A0EB0"/>
    <w:rsid w:val="001A1054"/>
    <w:rsid w:val="001A1195"/>
    <w:rsid w:val="001A1757"/>
    <w:rsid w:val="001A2486"/>
    <w:rsid w:val="001A3C10"/>
    <w:rsid w:val="001A491D"/>
    <w:rsid w:val="001A4C08"/>
    <w:rsid w:val="001A621D"/>
    <w:rsid w:val="001A69E4"/>
    <w:rsid w:val="001A6E01"/>
    <w:rsid w:val="001A6F26"/>
    <w:rsid w:val="001A7D30"/>
    <w:rsid w:val="001B014D"/>
    <w:rsid w:val="001B0304"/>
    <w:rsid w:val="001B0E27"/>
    <w:rsid w:val="001B0F6B"/>
    <w:rsid w:val="001B1429"/>
    <w:rsid w:val="001B19DD"/>
    <w:rsid w:val="001B2425"/>
    <w:rsid w:val="001B29CF"/>
    <w:rsid w:val="001B43AE"/>
    <w:rsid w:val="001B478D"/>
    <w:rsid w:val="001B498A"/>
    <w:rsid w:val="001B4D58"/>
    <w:rsid w:val="001B5542"/>
    <w:rsid w:val="001B55FF"/>
    <w:rsid w:val="001B6936"/>
    <w:rsid w:val="001B7E6D"/>
    <w:rsid w:val="001C02CE"/>
    <w:rsid w:val="001C02FF"/>
    <w:rsid w:val="001C0816"/>
    <w:rsid w:val="001C1019"/>
    <w:rsid w:val="001C17FD"/>
    <w:rsid w:val="001C1915"/>
    <w:rsid w:val="001C1AE5"/>
    <w:rsid w:val="001C3339"/>
    <w:rsid w:val="001C35F4"/>
    <w:rsid w:val="001C39F3"/>
    <w:rsid w:val="001C39FF"/>
    <w:rsid w:val="001C4674"/>
    <w:rsid w:val="001C497D"/>
    <w:rsid w:val="001C58BA"/>
    <w:rsid w:val="001C5D9D"/>
    <w:rsid w:val="001C63ED"/>
    <w:rsid w:val="001C7A92"/>
    <w:rsid w:val="001C7C14"/>
    <w:rsid w:val="001C7F9D"/>
    <w:rsid w:val="001D153A"/>
    <w:rsid w:val="001D167A"/>
    <w:rsid w:val="001D1987"/>
    <w:rsid w:val="001D1B95"/>
    <w:rsid w:val="001D1BCF"/>
    <w:rsid w:val="001D2058"/>
    <w:rsid w:val="001D2E6D"/>
    <w:rsid w:val="001D5CBF"/>
    <w:rsid w:val="001D5D06"/>
    <w:rsid w:val="001D692A"/>
    <w:rsid w:val="001D6D7E"/>
    <w:rsid w:val="001D7CC1"/>
    <w:rsid w:val="001E0AD4"/>
    <w:rsid w:val="001E0EAB"/>
    <w:rsid w:val="001E2655"/>
    <w:rsid w:val="001E2B7C"/>
    <w:rsid w:val="001E31DA"/>
    <w:rsid w:val="001E369D"/>
    <w:rsid w:val="001E4D60"/>
    <w:rsid w:val="001E55B7"/>
    <w:rsid w:val="001E5D18"/>
    <w:rsid w:val="001E6680"/>
    <w:rsid w:val="001E7514"/>
    <w:rsid w:val="001E7571"/>
    <w:rsid w:val="001E7661"/>
    <w:rsid w:val="001E7682"/>
    <w:rsid w:val="001E7CC2"/>
    <w:rsid w:val="001F0CD2"/>
    <w:rsid w:val="001F13B4"/>
    <w:rsid w:val="001F1844"/>
    <w:rsid w:val="001F196D"/>
    <w:rsid w:val="001F342E"/>
    <w:rsid w:val="001F4E04"/>
    <w:rsid w:val="001F579F"/>
    <w:rsid w:val="001F6FB8"/>
    <w:rsid w:val="00200F5F"/>
    <w:rsid w:val="002011AB"/>
    <w:rsid w:val="00201C78"/>
    <w:rsid w:val="00202AFC"/>
    <w:rsid w:val="00203113"/>
    <w:rsid w:val="00203127"/>
    <w:rsid w:val="00204B81"/>
    <w:rsid w:val="00205957"/>
    <w:rsid w:val="002062C4"/>
    <w:rsid w:val="002064AC"/>
    <w:rsid w:val="002105F5"/>
    <w:rsid w:val="00210C09"/>
    <w:rsid w:val="00210DD2"/>
    <w:rsid w:val="00211CE8"/>
    <w:rsid w:val="00211D1B"/>
    <w:rsid w:val="00213FD2"/>
    <w:rsid w:val="002143BB"/>
    <w:rsid w:val="00214750"/>
    <w:rsid w:val="00215175"/>
    <w:rsid w:val="00216080"/>
    <w:rsid w:val="0021629E"/>
    <w:rsid w:val="00216518"/>
    <w:rsid w:val="0021697E"/>
    <w:rsid w:val="00216CC9"/>
    <w:rsid w:val="002170A2"/>
    <w:rsid w:val="0022067D"/>
    <w:rsid w:val="00221F87"/>
    <w:rsid w:val="0022249D"/>
    <w:rsid w:val="00223635"/>
    <w:rsid w:val="002256E1"/>
    <w:rsid w:val="0022608B"/>
    <w:rsid w:val="00226A02"/>
    <w:rsid w:val="002272A6"/>
    <w:rsid w:val="00227BA4"/>
    <w:rsid w:val="00227D67"/>
    <w:rsid w:val="002300D5"/>
    <w:rsid w:val="00231B22"/>
    <w:rsid w:val="00232585"/>
    <w:rsid w:val="00232BA8"/>
    <w:rsid w:val="00232DDF"/>
    <w:rsid w:val="00233D34"/>
    <w:rsid w:val="00234EEB"/>
    <w:rsid w:val="00235715"/>
    <w:rsid w:val="00235EB4"/>
    <w:rsid w:val="00236F36"/>
    <w:rsid w:val="002401EE"/>
    <w:rsid w:val="0024035E"/>
    <w:rsid w:val="002405D9"/>
    <w:rsid w:val="00240AF3"/>
    <w:rsid w:val="00241096"/>
    <w:rsid w:val="002431FE"/>
    <w:rsid w:val="00243864"/>
    <w:rsid w:val="00246117"/>
    <w:rsid w:val="00247075"/>
    <w:rsid w:val="0025013B"/>
    <w:rsid w:val="002510B5"/>
    <w:rsid w:val="002520A6"/>
    <w:rsid w:val="00252B39"/>
    <w:rsid w:val="00253DE2"/>
    <w:rsid w:val="00254EDE"/>
    <w:rsid w:val="002554DB"/>
    <w:rsid w:val="00255613"/>
    <w:rsid w:val="00256727"/>
    <w:rsid w:val="0025798D"/>
    <w:rsid w:val="00260046"/>
    <w:rsid w:val="00260F45"/>
    <w:rsid w:val="00261817"/>
    <w:rsid w:val="002619CB"/>
    <w:rsid w:val="002623A6"/>
    <w:rsid w:val="00262AC8"/>
    <w:rsid w:val="0026373D"/>
    <w:rsid w:val="00263A81"/>
    <w:rsid w:val="00266CF5"/>
    <w:rsid w:val="0026709B"/>
    <w:rsid w:val="002671CF"/>
    <w:rsid w:val="0026731C"/>
    <w:rsid w:val="00267A7B"/>
    <w:rsid w:val="00267D34"/>
    <w:rsid w:val="00270FC0"/>
    <w:rsid w:val="00271091"/>
    <w:rsid w:val="002713DB"/>
    <w:rsid w:val="0027183A"/>
    <w:rsid w:val="002734CB"/>
    <w:rsid w:val="002768EC"/>
    <w:rsid w:val="00280162"/>
    <w:rsid w:val="00281C7C"/>
    <w:rsid w:val="002833D0"/>
    <w:rsid w:val="002845F9"/>
    <w:rsid w:val="00284F31"/>
    <w:rsid w:val="002853A2"/>
    <w:rsid w:val="00285538"/>
    <w:rsid w:val="002863EA"/>
    <w:rsid w:val="002870B7"/>
    <w:rsid w:val="0028728E"/>
    <w:rsid w:val="0028779B"/>
    <w:rsid w:val="00287E6A"/>
    <w:rsid w:val="00290196"/>
    <w:rsid w:val="00290ACC"/>
    <w:rsid w:val="002911FF"/>
    <w:rsid w:val="00291E73"/>
    <w:rsid w:val="002928E8"/>
    <w:rsid w:val="00292E78"/>
    <w:rsid w:val="00295A7F"/>
    <w:rsid w:val="00295F73"/>
    <w:rsid w:val="002962D4"/>
    <w:rsid w:val="00297000"/>
    <w:rsid w:val="002970C6"/>
    <w:rsid w:val="0029793F"/>
    <w:rsid w:val="002A026A"/>
    <w:rsid w:val="002A0626"/>
    <w:rsid w:val="002A079F"/>
    <w:rsid w:val="002A0829"/>
    <w:rsid w:val="002A0A9A"/>
    <w:rsid w:val="002A1F14"/>
    <w:rsid w:val="002A2394"/>
    <w:rsid w:val="002A26A3"/>
    <w:rsid w:val="002A2D89"/>
    <w:rsid w:val="002A37E4"/>
    <w:rsid w:val="002A3BFE"/>
    <w:rsid w:val="002A409C"/>
    <w:rsid w:val="002A41B5"/>
    <w:rsid w:val="002A488E"/>
    <w:rsid w:val="002A5288"/>
    <w:rsid w:val="002A547D"/>
    <w:rsid w:val="002A59C9"/>
    <w:rsid w:val="002A5DD0"/>
    <w:rsid w:val="002A650B"/>
    <w:rsid w:val="002B03F9"/>
    <w:rsid w:val="002B0549"/>
    <w:rsid w:val="002B1143"/>
    <w:rsid w:val="002B133A"/>
    <w:rsid w:val="002B1762"/>
    <w:rsid w:val="002B17B5"/>
    <w:rsid w:val="002B2CB5"/>
    <w:rsid w:val="002B3345"/>
    <w:rsid w:val="002B3BFC"/>
    <w:rsid w:val="002B3E5F"/>
    <w:rsid w:val="002B4E3F"/>
    <w:rsid w:val="002B4E8A"/>
    <w:rsid w:val="002B6104"/>
    <w:rsid w:val="002C0053"/>
    <w:rsid w:val="002C121F"/>
    <w:rsid w:val="002C18C8"/>
    <w:rsid w:val="002C239F"/>
    <w:rsid w:val="002C2ABE"/>
    <w:rsid w:val="002C2B6C"/>
    <w:rsid w:val="002C3F92"/>
    <w:rsid w:val="002C3FEA"/>
    <w:rsid w:val="002C431C"/>
    <w:rsid w:val="002C44BE"/>
    <w:rsid w:val="002C5503"/>
    <w:rsid w:val="002C720A"/>
    <w:rsid w:val="002C73A4"/>
    <w:rsid w:val="002C7779"/>
    <w:rsid w:val="002D0A7F"/>
    <w:rsid w:val="002D0F73"/>
    <w:rsid w:val="002D147C"/>
    <w:rsid w:val="002D2A4F"/>
    <w:rsid w:val="002D42FC"/>
    <w:rsid w:val="002D4624"/>
    <w:rsid w:val="002D476C"/>
    <w:rsid w:val="002D4805"/>
    <w:rsid w:val="002D554B"/>
    <w:rsid w:val="002D5657"/>
    <w:rsid w:val="002D5A3A"/>
    <w:rsid w:val="002D6620"/>
    <w:rsid w:val="002D687F"/>
    <w:rsid w:val="002D6B31"/>
    <w:rsid w:val="002E0117"/>
    <w:rsid w:val="002E1073"/>
    <w:rsid w:val="002E1E36"/>
    <w:rsid w:val="002E22DA"/>
    <w:rsid w:val="002E2914"/>
    <w:rsid w:val="002E297E"/>
    <w:rsid w:val="002E2B21"/>
    <w:rsid w:val="002E335D"/>
    <w:rsid w:val="002E3ECF"/>
    <w:rsid w:val="002E68AF"/>
    <w:rsid w:val="002E6BBF"/>
    <w:rsid w:val="002E6FDD"/>
    <w:rsid w:val="002E77B9"/>
    <w:rsid w:val="002E7958"/>
    <w:rsid w:val="002F04B5"/>
    <w:rsid w:val="002F1879"/>
    <w:rsid w:val="002F1A91"/>
    <w:rsid w:val="002F3DB9"/>
    <w:rsid w:val="002F474A"/>
    <w:rsid w:val="002F5066"/>
    <w:rsid w:val="002F5193"/>
    <w:rsid w:val="002F55CB"/>
    <w:rsid w:val="002F661F"/>
    <w:rsid w:val="002F701B"/>
    <w:rsid w:val="002F711A"/>
    <w:rsid w:val="002F7FE3"/>
    <w:rsid w:val="00300599"/>
    <w:rsid w:val="00300A6E"/>
    <w:rsid w:val="00301F62"/>
    <w:rsid w:val="003036BC"/>
    <w:rsid w:val="00303A5F"/>
    <w:rsid w:val="003056E5"/>
    <w:rsid w:val="00307E5E"/>
    <w:rsid w:val="00307E63"/>
    <w:rsid w:val="00310C6C"/>
    <w:rsid w:val="00310DFF"/>
    <w:rsid w:val="0031133B"/>
    <w:rsid w:val="00311566"/>
    <w:rsid w:val="003118C6"/>
    <w:rsid w:val="003123BC"/>
    <w:rsid w:val="003127C8"/>
    <w:rsid w:val="00314820"/>
    <w:rsid w:val="00315437"/>
    <w:rsid w:val="003155FF"/>
    <w:rsid w:val="003157A8"/>
    <w:rsid w:val="0031619A"/>
    <w:rsid w:val="003164D5"/>
    <w:rsid w:val="003167B2"/>
    <w:rsid w:val="00316918"/>
    <w:rsid w:val="00317276"/>
    <w:rsid w:val="003172C9"/>
    <w:rsid w:val="00317390"/>
    <w:rsid w:val="00317493"/>
    <w:rsid w:val="00317C32"/>
    <w:rsid w:val="003204AD"/>
    <w:rsid w:val="00322D0C"/>
    <w:rsid w:val="003234D2"/>
    <w:rsid w:val="00325380"/>
    <w:rsid w:val="00325404"/>
    <w:rsid w:val="00325F7B"/>
    <w:rsid w:val="003266C3"/>
    <w:rsid w:val="003269CC"/>
    <w:rsid w:val="00326F46"/>
    <w:rsid w:val="00327186"/>
    <w:rsid w:val="00327305"/>
    <w:rsid w:val="00330A98"/>
    <w:rsid w:val="00330BE1"/>
    <w:rsid w:val="00330D0C"/>
    <w:rsid w:val="0033100C"/>
    <w:rsid w:val="00331E0A"/>
    <w:rsid w:val="00332795"/>
    <w:rsid w:val="00332DBF"/>
    <w:rsid w:val="00333C14"/>
    <w:rsid w:val="00335808"/>
    <w:rsid w:val="00335F33"/>
    <w:rsid w:val="003361E0"/>
    <w:rsid w:val="00336610"/>
    <w:rsid w:val="00336C1B"/>
    <w:rsid w:val="003376BE"/>
    <w:rsid w:val="0034157E"/>
    <w:rsid w:val="00343ED5"/>
    <w:rsid w:val="003445C4"/>
    <w:rsid w:val="0034465A"/>
    <w:rsid w:val="0034530D"/>
    <w:rsid w:val="0034611A"/>
    <w:rsid w:val="0034684B"/>
    <w:rsid w:val="003469B5"/>
    <w:rsid w:val="003477BB"/>
    <w:rsid w:val="00347B9D"/>
    <w:rsid w:val="003515F0"/>
    <w:rsid w:val="0035294B"/>
    <w:rsid w:val="00352A6E"/>
    <w:rsid w:val="00352C36"/>
    <w:rsid w:val="00357CE9"/>
    <w:rsid w:val="0036002F"/>
    <w:rsid w:val="00360A06"/>
    <w:rsid w:val="00362244"/>
    <w:rsid w:val="003626F3"/>
    <w:rsid w:val="0036302F"/>
    <w:rsid w:val="003634EE"/>
    <w:rsid w:val="003636E8"/>
    <w:rsid w:val="0036430C"/>
    <w:rsid w:val="00364F07"/>
    <w:rsid w:val="0036515C"/>
    <w:rsid w:val="00365299"/>
    <w:rsid w:val="00365302"/>
    <w:rsid w:val="00366555"/>
    <w:rsid w:val="0036707C"/>
    <w:rsid w:val="003673BF"/>
    <w:rsid w:val="00371128"/>
    <w:rsid w:val="0037213E"/>
    <w:rsid w:val="003722BC"/>
    <w:rsid w:val="00372695"/>
    <w:rsid w:val="003727E4"/>
    <w:rsid w:val="00372B45"/>
    <w:rsid w:val="0037343C"/>
    <w:rsid w:val="00373E2D"/>
    <w:rsid w:val="003740F4"/>
    <w:rsid w:val="00374311"/>
    <w:rsid w:val="00374FBD"/>
    <w:rsid w:val="003751D5"/>
    <w:rsid w:val="00375C9C"/>
    <w:rsid w:val="003764D5"/>
    <w:rsid w:val="0038094B"/>
    <w:rsid w:val="0038159E"/>
    <w:rsid w:val="00382080"/>
    <w:rsid w:val="00382308"/>
    <w:rsid w:val="00382D27"/>
    <w:rsid w:val="00384351"/>
    <w:rsid w:val="0038565C"/>
    <w:rsid w:val="00385692"/>
    <w:rsid w:val="003857EF"/>
    <w:rsid w:val="00385994"/>
    <w:rsid w:val="00386057"/>
    <w:rsid w:val="00386213"/>
    <w:rsid w:val="00386521"/>
    <w:rsid w:val="00386C8B"/>
    <w:rsid w:val="00387B0E"/>
    <w:rsid w:val="00390C26"/>
    <w:rsid w:val="003913AD"/>
    <w:rsid w:val="00391733"/>
    <w:rsid w:val="00391C21"/>
    <w:rsid w:val="00391D16"/>
    <w:rsid w:val="00392564"/>
    <w:rsid w:val="00392D00"/>
    <w:rsid w:val="00392D80"/>
    <w:rsid w:val="00393BB2"/>
    <w:rsid w:val="003943C9"/>
    <w:rsid w:val="00395015"/>
    <w:rsid w:val="0039681D"/>
    <w:rsid w:val="00397C13"/>
    <w:rsid w:val="003A03A0"/>
    <w:rsid w:val="003A150C"/>
    <w:rsid w:val="003A2070"/>
    <w:rsid w:val="003A2430"/>
    <w:rsid w:val="003A24DA"/>
    <w:rsid w:val="003A33FF"/>
    <w:rsid w:val="003A345D"/>
    <w:rsid w:val="003A3CA1"/>
    <w:rsid w:val="003A3FE4"/>
    <w:rsid w:val="003A444E"/>
    <w:rsid w:val="003A47DB"/>
    <w:rsid w:val="003A5766"/>
    <w:rsid w:val="003A5A12"/>
    <w:rsid w:val="003A5A29"/>
    <w:rsid w:val="003A6397"/>
    <w:rsid w:val="003A63A0"/>
    <w:rsid w:val="003B05CD"/>
    <w:rsid w:val="003B05D5"/>
    <w:rsid w:val="003B0CC8"/>
    <w:rsid w:val="003B1CA5"/>
    <w:rsid w:val="003B1D71"/>
    <w:rsid w:val="003B2941"/>
    <w:rsid w:val="003B3510"/>
    <w:rsid w:val="003B3CE8"/>
    <w:rsid w:val="003B3FD9"/>
    <w:rsid w:val="003B47F0"/>
    <w:rsid w:val="003B4AF4"/>
    <w:rsid w:val="003B5176"/>
    <w:rsid w:val="003B6955"/>
    <w:rsid w:val="003B7F8E"/>
    <w:rsid w:val="003C0284"/>
    <w:rsid w:val="003C1D8F"/>
    <w:rsid w:val="003C204B"/>
    <w:rsid w:val="003C2C1E"/>
    <w:rsid w:val="003C2EC3"/>
    <w:rsid w:val="003C3C74"/>
    <w:rsid w:val="003C41E9"/>
    <w:rsid w:val="003C50AC"/>
    <w:rsid w:val="003C5193"/>
    <w:rsid w:val="003C7B1A"/>
    <w:rsid w:val="003D0525"/>
    <w:rsid w:val="003D10BF"/>
    <w:rsid w:val="003D1CA8"/>
    <w:rsid w:val="003D215D"/>
    <w:rsid w:val="003D24D6"/>
    <w:rsid w:val="003D4CA2"/>
    <w:rsid w:val="003D509B"/>
    <w:rsid w:val="003D5A9B"/>
    <w:rsid w:val="003D61D4"/>
    <w:rsid w:val="003D6474"/>
    <w:rsid w:val="003D6DEC"/>
    <w:rsid w:val="003D7C86"/>
    <w:rsid w:val="003E0636"/>
    <w:rsid w:val="003E0738"/>
    <w:rsid w:val="003E1497"/>
    <w:rsid w:val="003E2ADA"/>
    <w:rsid w:val="003E2D8D"/>
    <w:rsid w:val="003E343A"/>
    <w:rsid w:val="003E383F"/>
    <w:rsid w:val="003E4367"/>
    <w:rsid w:val="003E4FEA"/>
    <w:rsid w:val="003E51C6"/>
    <w:rsid w:val="003E531A"/>
    <w:rsid w:val="003E5B8E"/>
    <w:rsid w:val="003E5E72"/>
    <w:rsid w:val="003E6127"/>
    <w:rsid w:val="003E7A79"/>
    <w:rsid w:val="003F0094"/>
    <w:rsid w:val="003F068C"/>
    <w:rsid w:val="003F096A"/>
    <w:rsid w:val="003F1F58"/>
    <w:rsid w:val="003F2057"/>
    <w:rsid w:val="003F2574"/>
    <w:rsid w:val="003F25EA"/>
    <w:rsid w:val="003F31B5"/>
    <w:rsid w:val="003F41AE"/>
    <w:rsid w:val="003F4356"/>
    <w:rsid w:val="003F4533"/>
    <w:rsid w:val="003F5017"/>
    <w:rsid w:val="003F5213"/>
    <w:rsid w:val="003F521B"/>
    <w:rsid w:val="003F5CFF"/>
    <w:rsid w:val="00400126"/>
    <w:rsid w:val="00400416"/>
    <w:rsid w:val="00400B08"/>
    <w:rsid w:val="0040142A"/>
    <w:rsid w:val="004027BD"/>
    <w:rsid w:val="00402BE6"/>
    <w:rsid w:val="00402F98"/>
    <w:rsid w:val="0040346D"/>
    <w:rsid w:val="004035F2"/>
    <w:rsid w:val="0040386D"/>
    <w:rsid w:val="00404480"/>
    <w:rsid w:val="00404F0B"/>
    <w:rsid w:val="00405455"/>
    <w:rsid w:val="00407AEA"/>
    <w:rsid w:val="00407B96"/>
    <w:rsid w:val="00410366"/>
    <w:rsid w:val="004109B7"/>
    <w:rsid w:val="00410B94"/>
    <w:rsid w:val="004114F3"/>
    <w:rsid w:val="0041273F"/>
    <w:rsid w:val="00412C3D"/>
    <w:rsid w:val="00413C95"/>
    <w:rsid w:val="00413CD2"/>
    <w:rsid w:val="004144E3"/>
    <w:rsid w:val="00414673"/>
    <w:rsid w:val="00415245"/>
    <w:rsid w:val="00415410"/>
    <w:rsid w:val="004161F0"/>
    <w:rsid w:val="0041634B"/>
    <w:rsid w:val="0041634C"/>
    <w:rsid w:val="00416AB5"/>
    <w:rsid w:val="0041718A"/>
    <w:rsid w:val="00417F98"/>
    <w:rsid w:val="00420246"/>
    <w:rsid w:val="00420334"/>
    <w:rsid w:val="004207A3"/>
    <w:rsid w:val="00420AE6"/>
    <w:rsid w:val="004210D8"/>
    <w:rsid w:val="00421D04"/>
    <w:rsid w:val="00422461"/>
    <w:rsid w:val="0042288B"/>
    <w:rsid w:val="0042376E"/>
    <w:rsid w:val="0042462E"/>
    <w:rsid w:val="00425430"/>
    <w:rsid w:val="00425603"/>
    <w:rsid w:val="004325AB"/>
    <w:rsid w:val="00432A9C"/>
    <w:rsid w:val="00432C1A"/>
    <w:rsid w:val="00433CFB"/>
    <w:rsid w:val="00433FEC"/>
    <w:rsid w:val="00440575"/>
    <w:rsid w:val="00440B30"/>
    <w:rsid w:val="00440EBE"/>
    <w:rsid w:val="00441764"/>
    <w:rsid w:val="004418A1"/>
    <w:rsid w:val="00441A16"/>
    <w:rsid w:val="004424C0"/>
    <w:rsid w:val="00442A71"/>
    <w:rsid w:val="00443728"/>
    <w:rsid w:val="00443A3B"/>
    <w:rsid w:val="00443C61"/>
    <w:rsid w:val="00443F24"/>
    <w:rsid w:val="00444B0C"/>
    <w:rsid w:val="00445781"/>
    <w:rsid w:val="00447097"/>
    <w:rsid w:val="004502CA"/>
    <w:rsid w:val="0045154A"/>
    <w:rsid w:val="00451758"/>
    <w:rsid w:val="004521DB"/>
    <w:rsid w:val="00452BD3"/>
    <w:rsid w:val="00453018"/>
    <w:rsid w:val="00454121"/>
    <w:rsid w:val="00454778"/>
    <w:rsid w:val="0045485C"/>
    <w:rsid w:val="004555B1"/>
    <w:rsid w:val="004568ED"/>
    <w:rsid w:val="004574F8"/>
    <w:rsid w:val="0045788A"/>
    <w:rsid w:val="00457EE7"/>
    <w:rsid w:val="004602E3"/>
    <w:rsid w:val="00460907"/>
    <w:rsid w:val="00460AEA"/>
    <w:rsid w:val="004620B4"/>
    <w:rsid w:val="0046251D"/>
    <w:rsid w:val="00462919"/>
    <w:rsid w:val="004635DD"/>
    <w:rsid w:val="004638DD"/>
    <w:rsid w:val="00463D73"/>
    <w:rsid w:val="0046409F"/>
    <w:rsid w:val="004644AA"/>
    <w:rsid w:val="00464D44"/>
    <w:rsid w:val="00465F1A"/>
    <w:rsid w:val="00466EC1"/>
    <w:rsid w:val="0046788C"/>
    <w:rsid w:val="00470868"/>
    <w:rsid w:val="0047146E"/>
    <w:rsid w:val="00472095"/>
    <w:rsid w:val="00473C60"/>
    <w:rsid w:val="00473D46"/>
    <w:rsid w:val="0047470C"/>
    <w:rsid w:val="00474F82"/>
    <w:rsid w:val="0047514C"/>
    <w:rsid w:val="00475196"/>
    <w:rsid w:val="00476EEA"/>
    <w:rsid w:val="00476FBE"/>
    <w:rsid w:val="0047743C"/>
    <w:rsid w:val="00480297"/>
    <w:rsid w:val="004809E4"/>
    <w:rsid w:val="0048113D"/>
    <w:rsid w:val="00482678"/>
    <w:rsid w:val="00482924"/>
    <w:rsid w:val="00483020"/>
    <w:rsid w:val="004831F0"/>
    <w:rsid w:val="004841D3"/>
    <w:rsid w:val="00484492"/>
    <w:rsid w:val="00484613"/>
    <w:rsid w:val="0048597C"/>
    <w:rsid w:val="00486576"/>
    <w:rsid w:val="004871DF"/>
    <w:rsid w:val="00487579"/>
    <w:rsid w:val="004876FD"/>
    <w:rsid w:val="0049014B"/>
    <w:rsid w:val="00490BB7"/>
    <w:rsid w:val="00490F12"/>
    <w:rsid w:val="00492C71"/>
    <w:rsid w:val="0049355C"/>
    <w:rsid w:val="00493888"/>
    <w:rsid w:val="004938E3"/>
    <w:rsid w:val="00493C6E"/>
    <w:rsid w:val="0049412C"/>
    <w:rsid w:val="00494CD6"/>
    <w:rsid w:val="004956D8"/>
    <w:rsid w:val="00495A1B"/>
    <w:rsid w:val="00495B6F"/>
    <w:rsid w:val="00495E0D"/>
    <w:rsid w:val="0049669A"/>
    <w:rsid w:val="00496915"/>
    <w:rsid w:val="00497D5C"/>
    <w:rsid w:val="004A0DCB"/>
    <w:rsid w:val="004A1F15"/>
    <w:rsid w:val="004A3385"/>
    <w:rsid w:val="004A3897"/>
    <w:rsid w:val="004A38E8"/>
    <w:rsid w:val="004A4378"/>
    <w:rsid w:val="004A5CEE"/>
    <w:rsid w:val="004A65D3"/>
    <w:rsid w:val="004A6AAE"/>
    <w:rsid w:val="004A7863"/>
    <w:rsid w:val="004B058B"/>
    <w:rsid w:val="004B12F3"/>
    <w:rsid w:val="004B2108"/>
    <w:rsid w:val="004B28F5"/>
    <w:rsid w:val="004B34BD"/>
    <w:rsid w:val="004B4055"/>
    <w:rsid w:val="004B4E23"/>
    <w:rsid w:val="004B55AF"/>
    <w:rsid w:val="004B61B0"/>
    <w:rsid w:val="004B681B"/>
    <w:rsid w:val="004B7DB5"/>
    <w:rsid w:val="004C000A"/>
    <w:rsid w:val="004C039A"/>
    <w:rsid w:val="004C27FA"/>
    <w:rsid w:val="004C2EBE"/>
    <w:rsid w:val="004C4244"/>
    <w:rsid w:val="004C4CC7"/>
    <w:rsid w:val="004C4E8C"/>
    <w:rsid w:val="004C5E4E"/>
    <w:rsid w:val="004C6D68"/>
    <w:rsid w:val="004C6E1D"/>
    <w:rsid w:val="004D0225"/>
    <w:rsid w:val="004D0EBA"/>
    <w:rsid w:val="004D38BD"/>
    <w:rsid w:val="004D4288"/>
    <w:rsid w:val="004D430D"/>
    <w:rsid w:val="004D4519"/>
    <w:rsid w:val="004D45AD"/>
    <w:rsid w:val="004D4900"/>
    <w:rsid w:val="004D4D25"/>
    <w:rsid w:val="004D4EEB"/>
    <w:rsid w:val="004D5098"/>
    <w:rsid w:val="004D5CF1"/>
    <w:rsid w:val="004D6AAA"/>
    <w:rsid w:val="004E000F"/>
    <w:rsid w:val="004E0332"/>
    <w:rsid w:val="004E1720"/>
    <w:rsid w:val="004E23F6"/>
    <w:rsid w:val="004E2CD9"/>
    <w:rsid w:val="004E48B3"/>
    <w:rsid w:val="004E49AB"/>
    <w:rsid w:val="004E543A"/>
    <w:rsid w:val="004E5C89"/>
    <w:rsid w:val="004E603E"/>
    <w:rsid w:val="004E63A5"/>
    <w:rsid w:val="004E641B"/>
    <w:rsid w:val="004F0065"/>
    <w:rsid w:val="004F1315"/>
    <w:rsid w:val="004F1327"/>
    <w:rsid w:val="004F1A17"/>
    <w:rsid w:val="004F1A36"/>
    <w:rsid w:val="004F1D1F"/>
    <w:rsid w:val="004F21F8"/>
    <w:rsid w:val="004F2281"/>
    <w:rsid w:val="004F411C"/>
    <w:rsid w:val="004F4F7C"/>
    <w:rsid w:val="004F57E8"/>
    <w:rsid w:val="004F6386"/>
    <w:rsid w:val="004F6BF6"/>
    <w:rsid w:val="004F6FB1"/>
    <w:rsid w:val="004F7362"/>
    <w:rsid w:val="004F7874"/>
    <w:rsid w:val="004F7E80"/>
    <w:rsid w:val="004F7EF7"/>
    <w:rsid w:val="005000C5"/>
    <w:rsid w:val="00500508"/>
    <w:rsid w:val="005007C8"/>
    <w:rsid w:val="00500D6A"/>
    <w:rsid w:val="00501330"/>
    <w:rsid w:val="00501993"/>
    <w:rsid w:val="00502B6B"/>
    <w:rsid w:val="00503662"/>
    <w:rsid w:val="005038A4"/>
    <w:rsid w:val="00504638"/>
    <w:rsid w:val="00504778"/>
    <w:rsid w:val="00504B2E"/>
    <w:rsid w:val="00504CB6"/>
    <w:rsid w:val="005051C1"/>
    <w:rsid w:val="00505353"/>
    <w:rsid w:val="00506B13"/>
    <w:rsid w:val="00506D8F"/>
    <w:rsid w:val="005078D2"/>
    <w:rsid w:val="00507D82"/>
    <w:rsid w:val="00510E1A"/>
    <w:rsid w:val="00510E49"/>
    <w:rsid w:val="0051206C"/>
    <w:rsid w:val="005123AE"/>
    <w:rsid w:val="00513876"/>
    <w:rsid w:val="00514396"/>
    <w:rsid w:val="00514B09"/>
    <w:rsid w:val="00516306"/>
    <w:rsid w:val="00516E2E"/>
    <w:rsid w:val="005171EF"/>
    <w:rsid w:val="00517C16"/>
    <w:rsid w:val="0052004A"/>
    <w:rsid w:val="00520678"/>
    <w:rsid w:val="005208DD"/>
    <w:rsid w:val="0052155C"/>
    <w:rsid w:val="005231F8"/>
    <w:rsid w:val="0052327B"/>
    <w:rsid w:val="005265D9"/>
    <w:rsid w:val="0052750A"/>
    <w:rsid w:val="00527EBE"/>
    <w:rsid w:val="0053060D"/>
    <w:rsid w:val="00530612"/>
    <w:rsid w:val="00530971"/>
    <w:rsid w:val="00530B97"/>
    <w:rsid w:val="00531457"/>
    <w:rsid w:val="005322F2"/>
    <w:rsid w:val="005330A2"/>
    <w:rsid w:val="00533CF6"/>
    <w:rsid w:val="00534123"/>
    <w:rsid w:val="00534E02"/>
    <w:rsid w:val="00535652"/>
    <w:rsid w:val="005356EF"/>
    <w:rsid w:val="005375EE"/>
    <w:rsid w:val="0053783E"/>
    <w:rsid w:val="00537F89"/>
    <w:rsid w:val="00540DA6"/>
    <w:rsid w:val="00541961"/>
    <w:rsid w:val="00541BFF"/>
    <w:rsid w:val="00541D92"/>
    <w:rsid w:val="00541FD6"/>
    <w:rsid w:val="00542D1D"/>
    <w:rsid w:val="00543143"/>
    <w:rsid w:val="0054439A"/>
    <w:rsid w:val="00544E70"/>
    <w:rsid w:val="00545682"/>
    <w:rsid w:val="005458F5"/>
    <w:rsid w:val="00546728"/>
    <w:rsid w:val="00547173"/>
    <w:rsid w:val="00547985"/>
    <w:rsid w:val="0055039E"/>
    <w:rsid w:val="00550480"/>
    <w:rsid w:val="00551567"/>
    <w:rsid w:val="005517F9"/>
    <w:rsid w:val="00552585"/>
    <w:rsid w:val="00552AE9"/>
    <w:rsid w:val="00552B24"/>
    <w:rsid w:val="00552CEB"/>
    <w:rsid w:val="00552DDA"/>
    <w:rsid w:val="005558FC"/>
    <w:rsid w:val="00557A82"/>
    <w:rsid w:val="00560F61"/>
    <w:rsid w:val="0056146F"/>
    <w:rsid w:val="00561EA3"/>
    <w:rsid w:val="005627B0"/>
    <w:rsid w:val="00562FF5"/>
    <w:rsid w:val="00564255"/>
    <w:rsid w:val="005646BE"/>
    <w:rsid w:val="00565510"/>
    <w:rsid w:val="00566027"/>
    <w:rsid w:val="0056638C"/>
    <w:rsid w:val="00567C03"/>
    <w:rsid w:val="00567DD3"/>
    <w:rsid w:val="00570191"/>
    <w:rsid w:val="00570321"/>
    <w:rsid w:val="00572273"/>
    <w:rsid w:val="00572710"/>
    <w:rsid w:val="00573F50"/>
    <w:rsid w:val="0057408C"/>
    <w:rsid w:val="00574207"/>
    <w:rsid w:val="00574C0E"/>
    <w:rsid w:val="0057545C"/>
    <w:rsid w:val="00575625"/>
    <w:rsid w:val="00576903"/>
    <w:rsid w:val="00577DD1"/>
    <w:rsid w:val="0058096E"/>
    <w:rsid w:val="0058109F"/>
    <w:rsid w:val="0058188D"/>
    <w:rsid w:val="005850AC"/>
    <w:rsid w:val="005850FA"/>
    <w:rsid w:val="00585983"/>
    <w:rsid w:val="00585D04"/>
    <w:rsid w:val="00586C77"/>
    <w:rsid w:val="00587548"/>
    <w:rsid w:val="00587BC4"/>
    <w:rsid w:val="00592264"/>
    <w:rsid w:val="0059349C"/>
    <w:rsid w:val="00593E9E"/>
    <w:rsid w:val="005959AD"/>
    <w:rsid w:val="00595F4E"/>
    <w:rsid w:val="00596671"/>
    <w:rsid w:val="005972C4"/>
    <w:rsid w:val="005A09C3"/>
    <w:rsid w:val="005A11B5"/>
    <w:rsid w:val="005A18AB"/>
    <w:rsid w:val="005A1E40"/>
    <w:rsid w:val="005A2431"/>
    <w:rsid w:val="005A3E90"/>
    <w:rsid w:val="005A3F6E"/>
    <w:rsid w:val="005A5527"/>
    <w:rsid w:val="005A632C"/>
    <w:rsid w:val="005A6845"/>
    <w:rsid w:val="005B1231"/>
    <w:rsid w:val="005B139C"/>
    <w:rsid w:val="005B1960"/>
    <w:rsid w:val="005B1F84"/>
    <w:rsid w:val="005B200F"/>
    <w:rsid w:val="005B2580"/>
    <w:rsid w:val="005B2EC8"/>
    <w:rsid w:val="005B4410"/>
    <w:rsid w:val="005B4651"/>
    <w:rsid w:val="005B5889"/>
    <w:rsid w:val="005C048F"/>
    <w:rsid w:val="005C2527"/>
    <w:rsid w:val="005C2634"/>
    <w:rsid w:val="005C2F41"/>
    <w:rsid w:val="005C3207"/>
    <w:rsid w:val="005C379E"/>
    <w:rsid w:val="005C37C0"/>
    <w:rsid w:val="005C3C58"/>
    <w:rsid w:val="005C40FD"/>
    <w:rsid w:val="005C49C7"/>
    <w:rsid w:val="005C5AA9"/>
    <w:rsid w:val="005C6EB2"/>
    <w:rsid w:val="005C72BC"/>
    <w:rsid w:val="005C7910"/>
    <w:rsid w:val="005D0090"/>
    <w:rsid w:val="005D0B73"/>
    <w:rsid w:val="005D226C"/>
    <w:rsid w:val="005D2BDA"/>
    <w:rsid w:val="005D3641"/>
    <w:rsid w:val="005D391E"/>
    <w:rsid w:val="005D3E70"/>
    <w:rsid w:val="005D4292"/>
    <w:rsid w:val="005D42A3"/>
    <w:rsid w:val="005D452F"/>
    <w:rsid w:val="005D4538"/>
    <w:rsid w:val="005D4CDD"/>
    <w:rsid w:val="005D51E6"/>
    <w:rsid w:val="005D5863"/>
    <w:rsid w:val="005E0F05"/>
    <w:rsid w:val="005E121E"/>
    <w:rsid w:val="005E1ACD"/>
    <w:rsid w:val="005E1FC3"/>
    <w:rsid w:val="005E2A00"/>
    <w:rsid w:val="005E2A83"/>
    <w:rsid w:val="005E2BF7"/>
    <w:rsid w:val="005E326C"/>
    <w:rsid w:val="005E3837"/>
    <w:rsid w:val="005E391D"/>
    <w:rsid w:val="005E486C"/>
    <w:rsid w:val="005E4E5B"/>
    <w:rsid w:val="005E5444"/>
    <w:rsid w:val="005E5824"/>
    <w:rsid w:val="005E64C2"/>
    <w:rsid w:val="005E7972"/>
    <w:rsid w:val="005F124C"/>
    <w:rsid w:val="005F147D"/>
    <w:rsid w:val="005F20C8"/>
    <w:rsid w:val="005F2B13"/>
    <w:rsid w:val="005F2E0C"/>
    <w:rsid w:val="005F49D0"/>
    <w:rsid w:val="005F5816"/>
    <w:rsid w:val="005F58CE"/>
    <w:rsid w:val="005F5A88"/>
    <w:rsid w:val="005F5B13"/>
    <w:rsid w:val="005F5BFC"/>
    <w:rsid w:val="005F5C3A"/>
    <w:rsid w:val="005F6058"/>
    <w:rsid w:val="005F7C6B"/>
    <w:rsid w:val="00601690"/>
    <w:rsid w:val="00601A4B"/>
    <w:rsid w:val="00601BD9"/>
    <w:rsid w:val="00603286"/>
    <w:rsid w:val="0060395C"/>
    <w:rsid w:val="006039DB"/>
    <w:rsid w:val="00605ABC"/>
    <w:rsid w:val="00606DC0"/>
    <w:rsid w:val="00607495"/>
    <w:rsid w:val="00607C81"/>
    <w:rsid w:val="006104DC"/>
    <w:rsid w:val="00610F04"/>
    <w:rsid w:val="00611AB8"/>
    <w:rsid w:val="00613CF1"/>
    <w:rsid w:val="006148C0"/>
    <w:rsid w:val="00614A6F"/>
    <w:rsid w:val="00614AC8"/>
    <w:rsid w:val="00614B4D"/>
    <w:rsid w:val="00615931"/>
    <w:rsid w:val="00617377"/>
    <w:rsid w:val="00617765"/>
    <w:rsid w:val="006179A5"/>
    <w:rsid w:val="00617CCA"/>
    <w:rsid w:val="00620028"/>
    <w:rsid w:val="006212C9"/>
    <w:rsid w:val="00621FEE"/>
    <w:rsid w:val="00623210"/>
    <w:rsid w:val="006234D7"/>
    <w:rsid w:val="00623768"/>
    <w:rsid w:val="00623F41"/>
    <w:rsid w:val="00624309"/>
    <w:rsid w:val="00625EAF"/>
    <w:rsid w:val="00626082"/>
    <w:rsid w:val="006260BD"/>
    <w:rsid w:val="006271CB"/>
    <w:rsid w:val="006278DC"/>
    <w:rsid w:val="00627C79"/>
    <w:rsid w:val="00630071"/>
    <w:rsid w:val="006306D8"/>
    <w:rsid w:val="00630893"/>
    <w:rsid w:val="00631442"/>
    <w:rsid w:val="00631BEF"/>
    <w:rsid w:val="00632ADB"/>
    <w:rsid w:val="00633260"/>
    <w:rsid w:val="006334BF"/>
    <w:rsid w:val="00633880"/>
    <w:rsid w:val="00634CFB"/>
    <w:rsid w:val="00634E80"/>
    <w:rsid w:val="0063584C"/>
    <w:rsid w:val="00636346"/>
    <w:rsid w:val="00636712"/>
    <w:rsid w:val="00636C7F"/>
    <w:rsid w:val="00637722"/>
    <w:rsid w:val="00637CFD"/>
    <w:rsid w:val="00637E04"/>
    <w:rsid w:val="00637EAA"/>
    <w:rsid w:val="00640163"/>
    <w:rsid w:val="0064071F"/>
    <w:rsid w:val="006412CC"/>
    <w:rsid w:val="00641815"/>
    <w:rsid w:val="00641997"/>
    <w:rsid w:val="00641AA0"/>
    <w:rsid w:val="00642CAB"/>
    <w:rsid w:val="00642EB5"/>
    <w:rsid w:val="006435EE"/>
    <w:rsid w:val="00645929"/>
    <w:rsid w:val="0064646A"/>
    <w:rsid w:val="0064750B"/>
    <w:rsid w:val="00647791"/>
    <w:rsid w:val="0065193B"/>
    <w:rsid w:val="00652085"/>
    <w:rsid w:val="00652857"/>
    <w:rsid w:val="00654B5F"/>
    <w:rsid w:val="006566E2"/>
    <w:rsid w:val="00656B7B"/>
    <w:rsid w:val="00660B52"/>
    <w:rsid w:val="00661983"/>
    <w:rsid w:val="00662176"/>
    <w:rsid w:val="0066254A"/>
    <w:rsid w:val="00662A98"/>
    <w:rsid w:val="00662FBB"/>
    <w:rsid w:val="00663658"/>
    <w:rsid w:val="00663C4B"/>
    <w:rsid w:val="00663D1D"/>
    <w:rsid w:val="00663D90"/>
    <w:rsid w:val="00664019"/>
    <w:rsid w:val="0066459F"/>
    <w:rsid w:val="006646E6"/>
    <w:rsid w:val="00665112"/>
    <w:rsid w:val="00665125"/>
    <w:rsid w:val="006669F1"/>
    <w:rsid w:val="00666F2B"/>
    <w:rsid w:val="00667B65"/>
    <w:rsid w:val="00667C04"/>
    <w:rsid w:val="00671E2E"/>
    <w:rsid w:val="00672BA7"/>
    <w:rsid w:val="00673E26"/>
    <w:rsid w:val="006750A4"/>
    <w:rsid w:val="00676102"/>
    <w:rsid w:val="006761EC"/>
    <w:rsid w:val="006816DF"/>
    <w:rsid w:val="00681D1C"/>
    <w:rsid w:val="006823B8"/>
    <w:rsid w:val="00682D47"/>
    <w:rsid w:val="00683CE9"/>
    <w:rsid w:val="00683EE3"/>
    <w:rsid w:val="00684170"/>
    <w:rsid w:val="006844B3"/>
    <w:rsid w:val="006847A2"/>
    <w:rsid w:val="0068518E"/>
    <w:rsid w:val="006855AF"/>
    <w:rsid w:val="006865D7"/>
    <w:rsid w:val="00686975"/>
    <w:rsid w:val="00686FBD"/>
    <w:rsid w:val="0068730F"/>
    <w:rsid w:val="00690FEA"/>
    <w:rsid w:val="0069202E"/>
    <w:rsid w:val="006927A2"/>
    <w:rsid w:val="00692A13"/>
    <w:rsid w:val="00693160"/>
    <w:rsid w:val="006932B1"/>
    <w:rsid w:val="0069409E"/>
    <w:rsid w:val="00694882"/>
    <w:rsid w:val="006964D0"/>
    <w:rsid w:val="00696E47"/>
    <w:rsid w:val="006A03FE"/>
    <w:rsid w:val="006A117A"/>
    <w:rsid w:val="006A1568"/>
    <w:rsid w:val="006A1731"/>
    <w:rsid w:val="006A1B87"/>
    <w:rsid w:val="006A1D95"/>
    <w:rsid w:val="006A287D"/>
    <w:rsid w:val="006A296C"/>
    <w:rsid w:val="006A3414"/>
    <w:rsid w:val="006A49AB"/>
    <w:rsid w:val="006A4B12"/>
    <w:rsid w:val="006A5178"/>
    <w:rsid w:val="006B0C7B"/>
    <w:rsid w:val="006B21D0"/>
    <w:rsid w:val="006B2B7D"/>
    <w:rsid w:val="006B32CA"/>
    <w:rsid w:val="006B41A5"/>
    <w:rsid w:val="006B44F4"/>
    <w:rsid w:val="006B506D"/>
    <w:rsid w:val="006B5203"/>
    <w:rsid w:val="006B56E5"/>
    <w:rsid w:val="006C111C"/>
    <w:rsid w:val="006C1137"/>
    <w:rsid w:val="006C1216"/>
    <w:rsid w:val="006C137E"/>
    <w:rsid w:val="006C155C"/>
    <w:rsid w:val="006C211F"/>
    <w:rsid w:val="006C369A"/>
    <w:rsid w:val="006C3CE7"/>
    <w:rsid w:val="006C4723"/>
    <w:rsid w:val="006C4CD4"/>
    <w:rsid w:val="006C59CC"/>
    <w:rsid w:val="006C5DAF"/>
    <w:rsid w:val="006C61C5"/>
    <w:rsid w:val="006C7693"/>
    <w:rsid w:val="006C7AE5"/>
    <w:rsid w:val="006D144F"/>
    <w:rsid w:val="006D20CB"/>
    <w:rsid w:val="006D3E59"/>
    <w:rsid w:val="006D45CF"/>
    <w:rsid w:val="006D5038"/>
    <w:rsid w:val="006D512B"/>
    <w:rsid w:val="006D6425"/>
    <w:rsid w:val="006D654A"/>
    <w:rsid w:val="006D6A23"/>
    <w:rsid w:val="006D715D"/>
    <w:rsid w:val="006E1374"/>
    <w:rsid w:val="006E2107"/>
    <w:rsid w:val="006E2D08"/>
    <w:rsid w:val="006E353A"/>
    <w:rsid w:val="006E46C4"/>
    <w:rsid w:val="006E4A2C"/>
    <w:rsid w:val="006E5070"/>
    <w:rsid w:val="006E5144"/>
    <w:rsid w:val="006E5FB4"/>
    <w:rsid w:val="006E658F"/>
    <w:rsid w:val="006E68EC"/>
    <w:rsid w:val="006E72AA"/>
    <w:rsid w:val="006F08AC"/>
    <w:rsid w:val="006F0BC2"/>
    <w:rsid w:val="006F0FDF"/>
    <w:rsid w:val="006F1609"/>
    <w:rsid w:val="006F1631"/>
    <w:rsid w:val="006F1CD8"/>
    <w:rsid w:val="006F1FB9"/>
    <w:rsid w:val="006F299C"/>
    <w:rsid w:val="006F2E7F"/>
    <w:rsid w:val="006F3A35"/>
    <w:rsid w:val="006F4091"/>
    <w:rsid w:val="006F5519"/>
    <w:rsid w:val="006F5E07"/>
    <w:rsid w:val="006F6717"/>
    <w:rsid w:val="006F68E5"/>
    <w:rsid w:val="006F6F7B"/>
    <w:rsid w:val="006F73AE"/>
    <w:rsid w:val="006F7B38"/>
    <w:rsid w:val="006F7EFF"/>
    <w:rsid w:val="0070061C"/>
    <w:rsid w:val="00701D7B"/>
    <w:rsid w:val="00701E48"/>
    <w:rsid w:val="00701F07"/>
    <w:rsid w:val="0070246B"/>
    <w:rsid w:val="00703501"/>
    <w:rsid w:val="007059F0"/>
    <w:rsid w:val="00707517"/>
    <w:rsid w:val="00712345"/>
    <w:rsid w:val="007124EB"/>
    <w:rsid w:val="00712795"/>
    <w:rsid w:val="00713710"/>
    <w:rsid w:val="00713C30"/>
    <w:rsid w:val="00715C4C"/>
    <w:rsid w:val="007161ED"/>
    <w:rsid w:val="00716520"/>
    <w:rsid w:val="00716CBA"/>
    <w:rsid w:val="00720117"/>
    <w:rsid w:val="007204AA"/>
    <w:rsid w:val="00721216"/>
    <w:rsid w:val="00721D29"/>
    <w:rsid w:val="0072242B"/>
    <w:rsid w:val="00722B6B"/>
    <w:rsid w:val="00724775"/>
    <w:rsid w:val="007258A5"/>
    <w:rsid w:val="00730BCE"/>
    <w:rsid w:val="00731066"/>
    <w:rsid w:val="00733BEB"/>
    <w:rsid w:val="007341A2"/>
    <w:rsid w:val="0073578F"/>
    <w:rsid w:val="00735A11"/>
    <w:rsid w:val="00736691"/>
    <w:rsid w:val="00736CBD"/>
    <w:rsid w:val="00736D2A"/>
    <w:rsid w:val="00740397"/>
    <w:rsid w:val="00740A2A"/>
    <w:rsid w:val="007415B6"/>
    <w:rsid w:val="00741639"/>
    <w:rsid w:val="00741AEB"/>
    <w:rsid w:val="0074239A"/>
    <w:rsid w:val="00742B37"/>
    <w:rsid w:val="00743005"/>
    <w:rsid w:val="007431F2"/>
    <w:rsid w:val="00746E46"/>
    <w:rsid w:val="00747711"/>
    <w:rsid w:val="00747E43"/>
    <w:rsid w:val="007505FC"/>
    <w:rsid w:val="00750E33"/>
    <w:rsid w:val="007517DB"/>
    <w:rsid w:val="00751F1A"/>
    <w:rsid w:val="007522C6"/>
    <w:rsid w:val="007524C9"/>
    <w:rsid w:val="00752589"/>
    <w:rsid w:val="00752A8F"/>
    <w:rsid w:val="00752B3E"/>
    <w:rsid w:val="00753407"/>
    <w:rsid w:val="00755B3A"/>
    <w:rsid w:val="00755C8A"/>
    <w:rsid w:val="00756635"/>
    <w:rsid w:val="00756A7F"/>
    <w:rsid w:val="00756AF2"/>
    <w:rsid w:val="00757143"/>
    <w:rsid w:val="0075776B"/>
    <w:rsid w:val="00761BC2"/>
    <w:rsid w:val="007621A4"/>
    <w:rsid w:val="00762279"/>
    <w:rsid w:val="00762654"/>
    <w:rsid w:val="00762FAE"/>
    <w:rsid w:val="00763A97"/>
    <w:rsid w:val="0076423A"/>
    <w:rsid w:val="00765B6D"/>
    <w:rsid w:val="00766352"/>
    <w:rsid w:val="007668D7"/>
    <w:rsid w:val="00770864"/>
    <w:rsid w:val="00770E97"/>
    <w:rsid w:val="0077174D"/>
    <w:rsid w:val="00771828"/>
    <w:rsid w:val="00771EC7"/>
    <w:rsid w:val="00771F34"/>
    <w:rsid w:val="007725AA"/>
    <w:rsid w:val="007728E1"/>
    <w:rsid w:val="00773A22"/>
    <w:rsid w:val="007745FE"/>
    <w:rsid w:val="00774B20"/>
    <w:rsid w:val="00774EEA"/>
    <w:rsid w:val="00775D95"/>
    <w:rsid w:val="00776F15"/>
    <w:rsid w:val="00777355"/>
    <w:rsid w:val="00780FE5"/>
    <w:rsid w:val="0078145D"/>
    <w:rsid w:val="007821C7"/>
    <w:rsid w:val="00782355"/>
    <w:rsid w:val="007824B6"/>
    <w:rsid w:val="00783BCB"/>
    <w:rsid w:val="00784A0F"/>
    <w:rsid w:val="00785C21"/>
    <w:rsid w:val="00785EF8"/>
    <w:rsid w:val="0078661E"/>
    <w:rsid w:val="007869D2"/>
    <w:rsid w:val="00787164"/>
    <w:rsid w:val="00787AA7"/>
    <w:rsid w:val="0079026E"/>
    <w:rsid w:val="0079079F"/>
    <w:rsid w:val="007920DD"/>
    <w:rsid w:val="0079228A"/>
    <w:rsid w:val="00792378"/>
    <w:rsid w:val="007923F7"/>
    <w:rsid w:val="0079317D"/>
    <w:rsid w:val="007931FC"/>
    <w:rsid w:val="00793D84"/>
    <w:rsid w:val="00795916"/>
    <w:rsid w:val="007964E3"/>
    <w:rsid w:val="00796A3E"/>
    <w:rsid w:val="00796C9E"/>
    <w:rsid w:val="00797AB7"/>
    <w:rsid w:val="007A084B"/>
    <w:rsid w:val="007A085E"/>
    <w:rsid w:val="007A0DCD"/>
    <w:rsid w:val="007A0EF7"/>
    <w:rsid w:val="007A18E2"/>
    <w:rsid w:val="007A2B30"/>
    <w:rsid w:val="007A2B94"/>
    <w:rsid w:val="007A3418"/>
    <w:rsid w:val="007A3FC8"/>
    <w:rsid w:val="007A434C"/>
    <w:rsid w:val="007A453F"/>
    <w:rsid w:val="007A48D5"/>
    <w:rsid w:val="007A4977"/>
    <w:rsid w:val="007A6033"/>
    <w:rsid w:val="007A6368"/>
    <w:rsid w:val="007A68F8"/>
    <w:rsid w:val="007A6B5F"/>
    <w:rsid w:val="007A7921"/>
    <w:rsid w:val="007B0EFA"/>
    <w:rsid w:val="007B155C"/>
    <w:rsid w:val="007B3740"/>
    <w:rsid w:val="007B4B74"/>
    <w:rsid w:val="007B4CDC"/>
    <w:rsid w:val="007B5F37"/>
    <w:rsid w:val="007B6C1E"/>
    <w:rsid w:val="007B7B8C"/>
    <w:rsid w:val="007C02E3"/>
    <w:rsid w:val="007C0B45"/>
    <w:rsid w:val="007C0B84"/>
    <w:rsid w:val="007C10AF"/>
    <w:rsid w:val="007C1126"/>
    <w:rsid w:val="007C11C5"/>
    <w:rsid w:val="007C2796"/>
    <w:rsid w:val="007C2CF9"/>
    <w:rsid w:val="007C3D46"/>
    <w:rsid w:val="007C4AD7"/>
    <w:rsid w:val="007C4F31"/>
    <w:rsid w:val="007C670E"/>
    <w:rsid w:val="007C6CD9"/>
    <w:rsid w:val="007C71E3"/>
    <w:rsid w:val="007C7A3E"/>
    <w:rsid w:val="007D05EA"/>
    <w:rsid w:val="007D1699"/>
    <w:rsid w:val="007D19B2"/>
    <w:rsid w:val="007D23F3"/>
    <w:rsid w:val="007D24BB"/>
    <w:rsid w:val="007D2A01"/>
    <w:rsid w:val="007D2DB7"/>
    <w:rsid w:val="007D3545"/>
    <w:rsid w:val="007D3890"/>
    <w:rsid w:val="007D39E0"/>
    <w:rsid w:val="007D4DF7"/>
    <w:rsid w:val="007D57DB"/>
    <w:rsid w:val="007D6860"/>
    <w:rsid w:val="007D6A2E"/>
    <w:rsid w:val="007D6EAC"/>
    <w:rsid w:val="007D7B6E"/>
    <w:rsid w:val="007E084E"/>
    <w:rsid w:val="007E2804"/>
    <w:rsid w:val="007E28A2"/>
    <w:rsid w:val="007E2FB0"/>
    <w:rsid w:val="007E3257"/>
    <w:rsid w:val="007E4BC7"/>
    <w:rsid w:val="007E56C0"/>
    <w:rsid w:val="007E5F79"/>
    <w:rsid w:val="007E7852"/>
    <w:rsid w:val="007E7EC9"/>
    <w:rsid w:val="007F000D"/>
    <w:rsid w:val="007F0EE8"/>
    <w:rsid w:val="007F1297"/>
    <w:rsid w:val="007F1AC1"/>
    <w:rsid w:val="007F1D04"/>
    <w:rsid w:val="007F1EC5"/>
    <w:rsid w:val="007F26F0"/>
    <w:rsid w:val="007F4769"/>
    <w:rsid w:val="007F558E"/>
    <w:rsid w:val="007F7B56"/>
    <w:rsid w:val="007F7C46"/>
    <w:rsid w:val="007F7E7B"/>
    <w:rsid w:val="008003DB"/>
    <w:rsid w:val="00801A5A"/>
    <w:rsid w:val="00801AFF"/>
    <w:rsid w:val="00801CFB"/>
    <w:rsid w:val="00801D0D"/>
    <w:rsid w:val="0080201F"/>
    <w:rsid w:val="008022B7"/>
    <w:rsid w:val="00802538"/>
    <w:rsid w:val="00802D1D"/>
    <w:rsid w:val="00803EB9"/>
    <w:rsid w:val="008041E2"/>
    <w:rsid w:val="00805A87"/>
    <w:rsid w:val="00806BE1"/>
    <w:rsid w:val="008100C2"/>
    <w:rsid w:val="008100F2"/>
    <w:rsid w:val="008107DD"/>
    <w:rsid w:val="0081123A"/>
    <w:rsid w:val="00811D26"/>
    <w:rsid w:val="00812F5D"/>
    <w:rsid w:val="00813850"/>
    <w:rsid w:val="008142FA"/>
    <w:rsid w:val="0081478C"/>
    <w:rsid w:val="00815DD9"/>
    <w:rsid w:val="0082044E"/>
    <w:rsid w:val="008207D7"/>
    <w:rsid w:val="00821636"/>
    <w:rsid w:val="00821932"/>
    <w:rsid w:val="008222FF"/>
    <w:rsid w:val="00822876"/>
    <w:rsid w:val="00823AF2"/>
    <w:rsid w:val="00824338"/>
    <w:rsid w:val="008252B1"/>
    <w:rsid w:val="00825B83"/>
    <w:rsid w:val="00827591"/>
    <w:rsid w:val="0082782C"/>
    <w:rsid w:val="0082799E"/>
    <w:rsid w:val="008304DC"/>
    <w:rsid w:val="00830825"/>
    <w:rsid w:val="00830906"/>
    <w:rsid w:val="00830BDF"/>
    <w:rsid w:val="0083126F"/>
    <w:rsid w:val="00831394"/>
    <w:rsid w:val="008316A5"/>
    <w:rsid w:val="0083192C"/>
    <w:rsid w:val="00831A72"/>
    <w:rsid w:val="008348F9"/>
    <w:rsid w:val="0083516D"/>
    <w:rsid w:val="00836012"/>
    <w:rsid w:val="008361A4"/>
    <w:rsid w:val="00836C57"/>
    <w:rsid w:val="00836CA3"/>
    <w:rsid w:val="00836EF3"/>
    <w:rsid w:val="00837217"/>
    <w:rsid w:val="008379C6"/>
    <w:rsid w:val="008403FA"/>
    <w:rsid w:val="008416B6"/>
    <w:rsid w:val="00841916"/>
    <w:rsid w:val="00841E60"/>
    <w:rsid w:val="0084374D"/>
    <w:rsid w:val="008437A8"/>
    <w:rsid w:val="00843FAE"/>
    <w:rsid w:val="00844B9C"/>
    <w:rsid w:val="00844D5D"/>
    <w:rsid w:val="00844DAB"/>
    <w:rsid w:val="008454A8"/>
    <w:rsid w:val="00846B71"/>
    <w:rsid w:val="00850F2C"/>
    <w:rsid w:val="0085138A"/>
    <w:rsid w:val="0085173F"/>
    <w:rsid w:val="00851E31"/>
    <w:rsid w:val="00852588"/>
    <w:rsid w:val="008526A9"/>
    <w:rsid w:val="00852E80"/>
    <w:rsid w:val="008533B5"/>
    <w:rsid w:val="00853875"/>
    <w:rsid w:val="008561B9"/>
    <w:rsid w:val="008603DC"/>
    <w:rsid w:val="00861553"/>
    <w:rsid w:val="0086162A"/>
    <w:rsid w:val="00861716"/>
    <w:rsid w:val="00861B26"/>
    <w:rsid w:val="00861F09"/>
    <w:rsid w:val="008629DC"/>
    <w:rsid w:val="00863504"/>
    <w:rsid w:val="00863A26"/>
    <w:rsid w:val="00866B7E"/>
    <w:rsid w:val="00867509"/>
    <w:rsid w:val="00867B16"/>
    <w:rsid w:val="00867EFD"/>
    <w:rsid w:val="00870113"/>
    <w:rsid w:val="00871F82"/>
    <w:rsid w:val="008721DD"/>
    <w:rsid w:val="00872566"/>
    <w:rsid w:val="0087289B"/>
    <w:rsid w:val="00872E7D"/>
    <w:rsid w:val="008733D5"/>
    <w:rsid w:val="0087392A"/>
    <w:rsid w:val="00873B42"/>
    <w:rsid w:val="00875669"/>
    <w:rsid w:val="00875AB0"/>
    <w:rsid w:val="00876434"/>
    <w:rsid w:val="00876513"/>
    <w:rsid w:val="0087697E"/>
    <w:rsid w:val="00876BF3"/>
    <w:rsid w:val="00876F3C"/>
    <w:rsid w:val="00880345"/>
    <w:rsid w:val="00880885"/>
    <w:rsid w:val="00880CB0"/>
    <w:rsid w:val="00882276"/>
    <w:rsid w:val="00882B3F"/>
    <w:rsid w:val="00882DDA"/>
    <w:rsid w:val="008831C9"/>
    <w:rsid w:val="00883660"/>
    <w:rsid w:val="00883CA9"/>
    <w:rsid w:val="00886E2A"/>
    <w:rsid w:val="008870F5"/>
    <w:rsid w:val="0088758B"/>
    <w:rsid w:val="008878C2"/>
    <w:rsid w:val="0088790E"/>
    <w:rsid w:val="00890269"/>
    <w:rsid w:val="00890465"/>
    <w:rsid w:val="00890CE0"/>
    <w:rsid w:val="00890DAF"/>
    <w:rsid w:val="00893A63"/>
    <w:rsid w:val="00894211"/>
    <w:rsid w:val="00894451"/>
    <w:rsid w:val="008944D9"/>
    <w:rsid w:val="00895126"/>
    <w:rsid w:val="0089519F"/>
    <w:rsid w:val="00896CCC"/>
    <w:rsid w:val="00897598"/>
    <w:rsid w:val="008A06C7"/>
    <w:rsid w:val="008A0964"/>
    <w:rsid w:val="008A1842"/>
    <w:rsid w:val="008A21DA"/>
    <w:rsid w:val="008A2910"/>
    <w:rsid w:val="008A2C2C"/>
    <w:rsid w:val="008A309E"/>
    <w:rsid w:val="008A331D"/>
    <w:rsid w:val="008A34A5"/>
    <w:rsid w:val="008A438A"/>
    <w:rsid w:val="008A4628"/>
    <w:rsid w:val="008A5138"/>
    <w:rsid w:val="008A6375"/>
    <w:rsid w:val="008A65EC"/>
    <w:rsid w:val="008A79F1"/>
    <w:rsid w:val="008B0ECF"/>
    <w:rsid w:val="008B2A33"/>
    <w:rsid w:val="008B2A93"/>
    <w:rsid w:val="008B323D"/>
    <w:rsid w:val="008B4575"/>
    <w:rsid w:val="008B4F92"/>
    <w:rsid w:val="008B5481"/>
    <w:rsid w:val="008B57DF"/>
    <w:rsid w:val="008B6F1E"/>
    <w:rsid w:val="008B76AF"/>
    <w:rsid w:val="008B7779"/>
    <w:rsid w:val="008B7D0A"/>
    <w:rsid w:val="008B7E70"/>
    <w:rsid w:val="008C014E"/>
    <w:rsid w:val="008C1E95"/>
    <w:rsid w:val="008C1F42"/>
    <w:rsid w:val="008C21D4"/>
    <w:rsid w:val="008C230F"/>
    <w:rsid w:val="008C2A2A"/>
    <w:rsid w:val="008C2BD4"/>
    <w:rsid w:val="008C2D67"/>
    <w:rsid w:val="008C3501"/>
    <w:rsid w:val="008C361C"/>
    <w:rsid w:val="008C5DA9"/>
    <w:rsid w:val="008C5E7A"/>
    <w:rsid w:val="008C7015"/>
    <w:rsid w:val="008D0323"/>
    <w:rsid w:val="008D0617"/>
    <w:rsid w:val="008D0BAD"/>
    <w:rsid w:val="008D10A0"/>
    <w:rsid w:val="008D1CD1"/>
    <w:rsid w:val="008D211A"/>
    <w:rsid w:val="008D31C3"/>
    <w:rsid w:val="008D3E6A"/>
    <w:rsid w:val="008D4F36"/>
    <w:rsid w:val="008D5A04"/>
    <w:rsid w:val="008D5E69"/>
    <w:rsid w:val="008D636A"/>
    <w:rsid w:val="008D7F2D"/>
    <w:rsid w:val="008E0422"/>
    <w:rsid w:val="008E0AD2"/>
    <w:rsid w:val="008E0BD1"/>
    <w:rsid w:val="008E0F5E"/>
    <w:rsid w:val="008E2548"/>
    <w:rsid w:val="008E2B45"/>
    <w:rsid w:val="008E4C08"/>
    <w:rsid w:val="008E7348"/>
    <w:rsid w:val="008E78CB"/>
    <w:rsid w:val="008E7923"/>
    <w:rsid w:val="008F0732"/>
    <w:rsid w:val="008F1E60"/>
    <w:rsid w:val="008F25A0"/>
    <w:rsid w:val="008F3BB1"/>
    <w:rsid w:val="008F3E40"/>
    <w:rsid w:val="008F4837"/>
    <w:rsid w:val="008F4E03"/>
    <w:rsid w:val="008F4E40"/>
    <w:rsid w:val="008F5A9C"/>
    <w:rsid w:val="008F6439"/>
    <w:rsid w:val="008F6868"/>
    <w:rsid w:val="008F729E"/>
    <w:rsid w:val="008F7416"/>
    <w:rsid w:val="008F7D52"/>
    <w:rsid w:val="00901959"/>
    <w:rsid w:val="00901FCB"/>
    <w:rsid w:val="00902D04"/>
    <w:rsid w:val="00903509"/>
    <w:rsid w:val="00903854"/>
    <w:rsid w:val="00905416"/>
    <w:rsid w:val="00905D6D"/>
    <w:rsid w:val="009108AE"/>
    <w:rsid w:val="00910920"/>
    <w:rsid w:val="00910941"/>
    <w:rsid w:val="0091297C"/>
    <w:rsid w:val="00913A46"/>
    <w:rsid w:val="00914E0C"/>
    <w:rsid w:val="009153B5"/>
    <w:rsid w:val="009207CE"/>
    <w:rsid w:val="00920DC3"/>
    <w:rsid w:val="00922FA9"/>
    <w:rsid w:val="00923253"/>
    <w:rsid w:val="009237A3"/>
    <w:rsid w:val="00923AFA"/>
    <w:rsid w:val="00923E27"/>
    <w:rsid w:val="009263B2"/>
    <w:rsid w:val="00927E18"/>
    <w:rsid w:val="00930125"/>
    <w:rsid w:val="00930473"/>
    <w:rsid w:val="00930EC4"/>
    <w:rsid w:val="009310CB"/>
    <w:rsid w:val="00931553"/>
    <w:rsid w:val="00931A3B"/>
    <w:rsid w:val="00932F6E"/>
    <w:rsid w:val="009334EF"/>
    <w:rsid w:val="0093486C"/>
    <w:rsid w:val="00934961"/>
    <w:rsid w:val="009351C8"/>
    <w:rsid w:val="00935A2E"/>
    <w:rsid w:val="009368EE"/>
    <w:rsid w:val="00937907"/>
    <w:rsid w:val="00937AE1"/>
    <w:rsid w:val="00940994"/>
    <w:rsid w:val="00940DBD"/>
    <w:rsid w:val="0094157B"/>
    <w:rsid w:val="009427BD"/>
    <w:rsid w:val="009440CC"/>
    <w:rsid w:val="00945A01"/>
    <w:rsid w:val="00945E06"/>
    <w:rsid w:val="00945F68"/>
    <w:rsid w:val="00946ECB"/>
    <w:rsid w:val="0094719D"/>
    <w:rsid w:val="00947524"/>
    <w:rsid w:val="009479A9"/>
    <w:rsid w:val="00947C6C"/>
    <w:rsid w:val="00947DE5"/>
    <w:rsid w:val="009506DE"/>
    <w:rsid w:val="00950F8F"/>
    <w:rsid w:val="00951C58"/>
    <w:rsid w:val="00953065"/>
    <w:rsid w:val="00953A30"/>
    <w:rsid w:val="00953B69"/>
    <w:rsid w:val="0095408C"/>
    <w:rsid w:val="009549AA"/>
    <w:rsid w:val="0095515F"/>
    <w:rsid w:val="009567D2"/>
    <w:rsid w:val="00957062"/>
    <w:rsid w:val="00957FE2"/>
    <w:rsid w:val="009606AC"/>
    <w:rsid w:val="00960C0B"/>
    <w:rsid w:val="009623A4"/>
    <w:rsid w:val="009633B4"/>
    <w:rsid w:val="00963DC4"/>
    <w:rsid w:val="00964603"/>
    <w:rsid w:val="00964867"/>
    <w:rsid w:val="0096497E"/>
    <w:rsid w:val="00964ACB"/>
    <w:rsid w:val="00965058"/>
    <w:rsid w:val="00965CC9"/>
    <w:rsid w:val="00966D0D"/>
    <w:rsid w:val="00967709"/>
    <w:rsid w:val="009707BA"/>
    <w:rsid w:val="00970D07"/>
    <w:rsid w:val="009711DA"/>
    <w:rsid w:val="00971310"/>
    <w:rsid w:val="00971BE7"/>
    <w:rsid w:val="00972DBC"/>
    <w:rsid w:val="00972F80"/>
    <w:rsid w:val="00974312"/>
    <w:rsid w:val="0097497E"/>
    <w:rsid w:val="00974E1D"/>
    <w:rsid w:val="009751B1"/>
    <w:rsid w:val="00975753"/>
    <w:rsid w:val="00975FD3"/>
    <w:rsid w:val="00976B2C"/>
    <w:rsid w:val="00980782"/>
    <w:rsid w:val="00980DAA"/>
    <w:rsid w:val="00981726"/>
    <w:rsid w:val="009821FC"/>
    <w:rsid w:val="00982C25"/>
    <w:rsid w:val="00982C2F"/>
    <w:rsid w:val="00982F24"/>
    <w:rsid w:val="00983C0B"/>
    <w:rsid w:val="00983C77"/>
    <w:rsid w:val="0098411B"/>
    <w:rsid w:val="009863E0"/>
    <w:rsid w:val="00986A20"/>
    <w:rsid w:val="00987BC9"/>
    <w:rsid w:val="0099085C"/>
    <w:rsid w:val="00990EE9"/>
    <w:rsid w:val="00991CA5"/>
    <w:rsid w:val="0099346B"/>
    <w:rsid w:val="00995D9B"/>
    <w:rsid w:val="00996A6D"/>
    <w:rsid w:val="009979CF"/>
    <w:rsid w:val="009A07CD"/>
    <w:rsid w:val="009A1735"/>
    <w:rsid w:val="009A1966"/>
    <w:rsid w:val="009A1E49"/>
    <w:rsid w:val="009A2C8A"/>
    <w:rsid w:val="009A3BF5"/>
    <w:rsid w:val="009A4ED3"/>
    <w:rsid w:val="009A53EF"/>
    <w:rsid w:val="009A600A"/>
    <w:rsid w:val="009A6C47"/>
    <w:rsid w:val="009A74F9"/>
    <w:rsid w:val="009A75D5"/>
    <w:rsid w:val="009A793C"/>
    <w:rsid w:val="009A7D25"/>
    <w:rsid w:val="009A7F23"/>
    <w:rsid w:val="009A7F70"/>
    <w:rsid w:val="009B0028"/>
    <w:rsid w:val="009B00C0"/>
    <w:rsid w:val="009B0710"/>
    <w:rsid w:val="009B09AD"/>
    <w:rsid w:val="009B0A1B"/>
    <w:rsid w:val="009B0D41"/>
    <w:rsid w:val="009B0DE1"/>
    <w:rsid w:val="009B2397"/>
    <w:rsid w:val="009B55A0"/>
    <w:rsid w:val="009B56D1"/>
    <w:rsid w:val="009B6CCB"/>
    <w:rsid w:val="009C0C22"/>
    <w:rsid w:val="009C163B"/>
    <w:rsid w:val="009C16FA"/>
    <w:rsid w:val="009C1864"/>
    <w:rsid w:val="009C18BE"/>
    <w:rsid w:val="009C1E8E"/>
    <w:rsid w:val="009C3AAC"/>
    <w:rsid w:val="009C3B62"/>
    <w:rsid w:val="009C4061"/>
    <w:rsid w:val="009C428E"/>
    <w:rsid w:val="009C53EF"/>
    <w:rsid w:val="009C5653"/>
    <w:rsid w:val="009C62F1"/>
    <w:rsid w:val="009C64FB"/>
    <w:rsid w:val="009C7426"/>
    <w:rsid w:val="009C7617"/>
    <w:rsid w:val="009C791E"/>
    <w:rsid w:val="009D1782"/>
    <w:rsid w:val="009D1C94"/>
    <w:rsid w:val="009D30BC"/>
    <w:rsid w:val="009D3A10"/>
    <w:rsid w:val="009D4059"/>
    <w:rsid w:val="009D4076"/>
    <w:rsid w:val="009D4358"/>
    <w:rsid w:val="009D49BB"/>
    <w:rsid w:val="009D4F43"/>
    <w:rsid w:val="009D5B62"/>
    <w:rsid w:val="009D5BC6"/>
    <w:rsid w:val="009D5EA1"/>
    <w:rsid w:val="009D6022"/>
    <w:rsid w:val="009D6BB2"/>
    <w:rsid w:val="009D744A"/>
    <w:rsid w:val="009E0DB9"/>
    <w:rsid w:val="009E139C"/>
    <w:rsid w:val="009E273E"/>
    <w:rsid w:val="009E29D8"/>
    <w:rsid w:val="009E2F57"/>
    <w:rsid w:val="009E54D3"/>
    <w:rsid w:val="009E5D70"/>
    <w:rsid w:val="009E6488"/>
    <w:rsid w:val="009E6863"/>
    <w:rsid w:val="009E7279"/>
    <w:rsid w:val="009E7587"/>
    <w:rsid w:val="009E75B1"/>
    <w:rsid w:val="009F0A43"/>
    <w:rsid w:val="009F0B7F"/>
    <w:rsid w:val="009F14B4"/>
    <w:rsid w:val="009F2403"/>
    <w:rsid w:val="009F27F6"/>
    <w:rsid w:val="009F2A49"/>
    <w:rsid w:val="009F4971"/>
    <w:rsid w:val="009F59B7"/>
    <w:rsid w:val="009F5ECC"/>
    <w:rsid w:val="009F6ADE"/>
    <w:rsid w:val="009F72AA"/>
    <w:rsid w:val="009F7435"/>
    <w:rsid w:val="009F7652"/>
    <w:rsid w:val="00A00171"/>
    <w:rsid w:val="00A00CA0"/>
    <w:rsid w:val="00A013C8"/>
    <w:rsid w:val="00A017F7"/>
    <w:rsid w:val="00A0192F"/>
    <w:rsid w:val="00A01B08"/>
    <w:rsid w:val="00A01D29"/>
    <w:rsid w:val="00A02583"/>
    <w:rsid w:val="00A03194"/>
    <w:rsid w:val="00A03246"/>
    <w:rsid w:val="00A03CCB"/>
    <w:rsid w:val="00A0407F"/>
    <w:rsid w:val="00A058F1"/>
    <w:rsid w:val="00A05E3B"/>
    <w:rsid w:val="00A06061"/>
    <w:rsid w:val="00A06649"/>
    <w:rsid w:val="00A0719D"/>
    <w:rsid w:val="00A079A1"/>
    <w:rsid w:val="00A1048A"/>
    <w:rsid w:val="00A10A4C"/>
    <w:rsid w:val="00A11239"/>
    <w:rsid w:val="00A1124B"/>
    <w:rsid w:val="00A11409"/>
    <w:rsid w:val="00A11FA9"/>
    <w:rsid w:val="00A12F6C"/>
    <w:rsid w:val="00A138AB"/>
    <w:rsid w:val="00A13963"/>
    <w:rsid w:val="00A14CFA"/>
    <w:rsid w:val="00A15AF2"/>
    <w:rsid w:val="00A1661D"/>
    <w:rsid w:val="00A16FD1"/>
    <w:rsid w:val="00A1798C"/>
    <w:rsid w:val="00A20F6F"/>
    <w:rsid w:val="00A23B74"/>
    <w:rsid w:val="00A24171"/>
    <w:rsid w:val="00A24566"/>
    <w:rsid w:val="00A254BD"/>
    <w:rsid w:val="00A26BFD"/>
    <w:rsid w:val="00A30A9D"/>
    <w:rsid w:val="00A31021"/>
    <w:rsid w:val="00A31036"/>
    <w:rsid w:val="00A31A76"/>
    <w:rsid w:val="00A32017"/>
    <w:rsid w:val="00A331FD"/>
    <w:rsid w:val="00A33DD4"/>
    <w:rsid w:val="00A33E79"/>
    <w:rsid w:val="00A3487B"/>
    <w:rsid w:val="00A35012"/>
    <w:rsid w:val="00A35875"/>
    <w:rsid w:val="00A36A99"/>
    <w:rsid w:val="00A379FC"/>
    <w:rsid w:val="00A40C47"/>
    <w:rsid w:val="00A40CAA"/>
    <w:rsid w:val="00A4162D"/>
    <w:rsid w:val="00A416C3"/>
    <w:rsid w:val="00A45A3F"/>
    <w:rsid w:val="00A45A5D"/>
    <w:rsid w:val="00A46674"/>
    <w:rsid w:val="00A4723C"/>
    <w:rsid w:val="00A4732B"/>
    <w:rsid w:val="00A474AE"/>
    <w:rsid w:val="00A47B03"/>
    <w:rsid w:val="00A47FB7"/>
    <w:rsid w:val="00A50CFC"/>
    <w:rsid w:val="00A50E24"/>
    <w:rsid w:val="00A51579"/>
    <w:rsid w:val="00A515C6"/>
    <w:rsid w:val="00A51720"/>
    <w:rsid w:val="00A536D4"/>
    <w:rsid w:val="00A536D8"/>
    <w:rsid w:val="00A53843"/>
    <w:rsid w:val="00A5420D"/>
    <w:rsid w:val="00A54359"/>
    <w:rsid w:val="00A546E4"/>
    <w:rsid w:val="00A55C60"/>
    <w:rsid w:val="00A55FD9"/>
    <w:rsid w:val="00A5671F"/>
    <w:rsid w:val="00A57F96"/>
    <w:rsid w:val="00A57FF6"/>
    <w:rsid w:val="00A60964"/>
    <w:rsid w:val="00A60CC4"/>
    <w:rsid w:val="00A61196"/>
    <w:rsid w:val="00A6182A"/>
    <w:rsid w:val="00A65DA1"/>
    <w:rsid w:val="00A65E3F"/>
    <w:rsid w:val="00A65FDB"/>
    <w:rsid w:val="00A667FB"/>
    <w:rsid w:val="00A66B3E"/>
    <w:rsid w:val="00A709B4"/>
    <w:rsid w:val="00A716F5"/>
    <w:rsid w:val="00A71E72"/>
    <w:rsid w:val="00A720E6"/>
    <w:rsid w:val="00A72787"/>
    <w:rsid w:val="00A72853"/>
    <w:rsid w:val="00A72BB0"/>
    <w:rsid w:val="00A74699"/>
    <w:rsid w:val="00A74E38"/>
    <w:rsid w:val="00A74F60"/>
    <w:rsid w:val="00A75B57"/>
    <w:rsid w:val="00A75D2E"/>
    <w:rsid w:val="00A75FBC"/>
    <w:rsid w:val="00A7656B"/>
    <w:rsid w:val="00A766AF"/>
    <w:rsid w:val="00A77037"/>
    <w:rsid w:val="00A80223"/>
    <w:rsid w:val="00A80BA4"/>
    <w:rsid w:val="00A817E2"/>
    <w:rsid w:val="00A82186"/>
    <w:rsid w:val="00A8275E"/>
    <w:rsid w:val="00A82A1E"/>
    <w:rsid w:val="00A82C54"/>
    <w:rsid w:val="00A83E44"/>
    <w:rsid w:val="00A84D67"/>
    <w:rsid w:val="00A868A5"/>
    <w:rsid w:val="00A868C6"/>
    <w:rsid w:val="00A87791"/>
    <w:rsid w:val="00A879C1"/>
    <w:rsid w:val="00A87F99"/>
    <w:rsid w:val="00A902F6"/>
    <w:rsid w:val="00A92F71"/>
    <w:rsid w:val="00A93BC5"/>
    <w:rsid w:val="00A94333"/>
    <w:rsid w:val="00A949CA"/>
    <w:rsid w:val="00A94FE1"/>
    <w:rsid w:val="00A953FE"/>
    <w:rsid w:val="00A96634"/>
    <w:rsid w:val="00A968D1"/>
    <w:rsid w:val="00A96A2B"/>
    <w:rsid w:val="00A96A77"/>
    <w:rsid w:val="00A97597"/>
    <w:rsid w:val="00A97D26"/>
    <w:rsid w:val="00AA0E5B"/>
    <w:rsid w:val="00AA120A"/>
    <w:rsid w:val="00AA1629"/>
    <w:rsid w:val="00AA242C"/>
    <w:rsid w:val="00AA3424"/>
    <w:rsid w:val="00AA3723"/>
    <w:rsid w:val="00AA3D57"/>
    <w:rsid w:val="00AA4928"/>
    <w:rsid w:val="00AA4BF9"/>
    <w:rsid w:val="00AA563A"/>
    <w:rsid w:val="00AA578A"/>
    <w:rsid w:val="00AA6414"/>
    <w:rsid w:val="00AA73CE"/>
    <w:rsid w:val="00AA7656"/>
    <w:rsid w:val="00AA7CDE"/>
    <w:rsid w:val="00AA7E0D"/>
    <w:rsid w:val="00AB08CE"/>
    <w:rsid w:val="00AB17F0"/>
    <w:rsid w:val="00AB1A8A"/>
    <w:rsid w:val="00AB3600"/>
    <w:rsid w:val="00AB365D"/>
    <w:rsid w:val="00AB3EEC"/>
    <w:rsid w:val="00AB410C"/>
    <w:rsid w:val="00AB4504"/>
    <w:rsid w:val="00AB4D22"/>
    <w:rsid w:val="00AB5282"/>
    <w:rsid w:val="00AB6D61"/>
    <w:rsid w:val="00AB77C2"/>
    <w:rsid w:val="00AB77EA"/>
    <w:rsid w:val="00AB7D35"/>
    <w:rsid w:val="00AB7E1C"/>
    <w:rsid w:val="00AC05EC"/>
    <w:rsid w:val="00AC29B5"/>
    <w:rsid w:val="00AC4875"/>
    <w:rsid w:val="00AC494E"/>
    <w:rsid w:val="00AC4BE5"/>
    <w:rsid w:val="00AC50B7"/>
    <w:rsid w:val="00AC5661"/>
    <w:rsid w:val="00AC79AE"/>
    <w:rsid w:val="00AC7A83"/>
    <w:rsid w:val="00AD002F"/>
    <w:rsid w:val="00AD0A9A"/>
    <w:rsid w:val="00AD16BC"/>
    <w:rsid w:val="00AD25B2"/>
    <w:rsid w:val="00AD25E8"/>
    <w:rsid w:val="00AD356C"/>
    <w:rsid w:val="00AD3804"/>
    <w:rsid w:val="00AD3F4B"/>
    <w:rsid w:val="00AD4C9F"/>
    <w:rsid w:val="00AD5DBF"/>
    <w:rsid w:val="00AD5FF6"/>
    <w:rsid w:val="00AD6EBE"/>
    <w:rsid w:val="00AD6F9B"/>
    <w:rsid w:val="00AD71C5"/>
    <w:rsid w:val="00AE004F"/>
    <w:rsid w:val="00AE0857"/>
    <w:rsid w:val="00AE09BB"/>
    <w:rsid w:val="00AE1140"/>
    <w:rsid w:val="00AE1581"/>
    <w:rsid w:val="00AE1E21"/>
    <w:rsid w:val="00AE1FF5"/>
    <w:rsid w:val="00AE379F"/>
    <w:rsid w:val="00AE5B51"/>
    <w:rsid w:val="00AE66B1"/>
    <w:rsid w:val="00AE727F"/>
    <w:rsid w:val="00AE79E2"/>
    <w:rsid w:val="00AE7FE2"/>
    <w:rsid w:val="00AF0386"/>
    <w:rsid w:val="00AF367F"/>
    <w:rsid w:val="00AF3D99"/>
    <w:rsid w:val="00AF4900"/>
    <w:rsid w:val="00AF4DC1"/>
    <w:rsid w:val="00AF4E17"/>
    <w:rsid w:val="00AF5C22"/>
    <w:rsid w:val="00AF6417"/>
    <w:rsid w:val="00AF6C04"/>
    <w:rsid w:val="00B00BC3"/>
    <w:rsid w:val="00B00F65"/>
    <w:rsid w:val="00B00FB7"/>
    <w:rsid w:val="00B01CEB"/>
    <w:rsid w:val="00B0273F"/>
    <w:rsid w:val="00B0276C"/>
    <w:rsid w:val="00B047BE"/>
    <w:rsid w:val="00B04A1B"/>
    <w:rsid w:val="00B055E4"/>
    <w:rsid w:val="00B05617"/>
    <w:rsid w:val="00B05EC5"/>
    <w:rsid w:val="00B0627A"/>
    <w:rsid w:val="00B06C72"/>
    <w:rsid w:val="00B071F0"/>
    <w:rsid w:val="00B07D43"/>
    <w:rsid w:val="00B10506"/>
    <w:rsid w:val="00B10662"/>
    <w:rsid w:val="00B10BB5"/>
    <w:rsid w:val="00B10E79"/>
    <w:rsid w:val="00B113BD"/>
    <w:rsid w:val="00B12847"/>
    <w:rsid w:val="00B1368E"/>
    <w:rsid w:val="00B143F6"/>
    <w:rsid w:val="00B16018"/>
    <w:rsid w:val="00B162A8"/>
    <w:rsid w:val="00B1684D"/>
    <w:rsid w:val="00B17392"/>
    <w:rsid w:val="00B1757D"/>
    <w:rsid w:val="00B21453"/>
    <w:rsid w:val="00B215B9"/>
    <w:rsid w:val="00B22371"/>
    <w:rsid w:val="00B228FA"/>
    <w:rsid w:val="00B2340A"/>
    <w:rsid w:val="00B23B82"/>
    <w:rsid w:val="00B23F28"/>
    <w:rsid w:val="00B24105"/>
    <w:rsid w:val="00B25EAF"/>
    <w:rsid w:val="00B2610C"/>
    <w:rsid w:val="00B262F8"/>
    <w:rsid w:val="00B2647A"/>
    <w:rsid w:val="00B264ED"/>
    <w:rsid w:val="00B26562"/>
    <w:rsid w:val="00B2665A"/>
    <w:rsid w:val="00B27130"/>
    <w:rsid w:val="00B318E1"/>
    <w:rsid w:val="00B32180"/>
    <w:rsid w:val="00B329F7"/>
    <w:rsid w:val="00B32C26"/>
    <w:rsid w:val="00B33106"/>
    <w:rsid w:val="00B33114"/>
    <w:rsid w:val="00B34D09"/>
    <w:rsid w:val="00B34D52"/>
    <w:rsid w:val="00B3544E"/>
    <w:rsid w:val="00B35B49"/>
    <w:rsid w:val="00B35B79"/>
    <w:rsid w:val="00B3652C"/>
    <w:rsid w:val="00B37CEE"/>
    <w:rsid w:val="00B41B8B"/>
    <w:rsid w:val="00B41DE3"/>
    <w:rsid w:val="00B42105"/>
    <w:rsid w:val="00B42239"/>
    <w:rsid w:val="00B43AAB"/>
    <w:rsid w:val="00B43BE3"/>
    <w:rsid w:val="00B43DDB"/>
    <w:rsid w:val="00B44869"/>
    <w:rsid w:val="00B454AB"/>
    <w:rsid w:val="00B456A6"/>
    <w:rsid w:val="00B472E4"/>
    <w:rsid w:val="00B473CB"/>
    <w:rsid w:val="00B47B76"/>
    <w:rsid w:val="00B501C7"/>
    <w:rsid w:val="00B50A36"/>
    <w:rsid w:val="00B50D29"/>
    <w:rsid w:val="00B51563"/>
    <w:rsid w:val="00B516A9"/>
    <w:rsid w:val="00B52153"/>
    <w:rsid w:val="00B52FD4"/>
    <w:rsid w:val="00B537A5"/>
    <w:rsid w:val="00B53C07"/>
    <w:rsid w:val="00B54A23"/>
    <w:rsid w:val="00B54DFF"/>
    <w:rsid w:val="00B5505F"/>
    <w:rsid w:val="00B552AF"/>
    <w:rsid w:val="00B55F26"/>
    <w:rsid w:val="00B603CD"/>
    <w:rsid w:val="00B603D2"/>
    <w:rsid w:val="00B61125"/>
    <w:rsid w:val="00B6174F"/>
    <w:rsid w:val="00B62AFA"/>
    <w:rsid w:val="00B62B78"/>
    <w:rsid w:val="00B6345F"/>
    <w:rsid w:val="00B636B2"/>
    <w:rsid w:val="00B646DE"/>
    <w:rsid w:val="00B650B5"/>
    <w:rsid w:val="00B651A4"/>
    <w:rsid w:val="00B659BC"/>
    <w:rsid w:val="00B66E0A"/>
    <w:rsid w:val="00B66FC8"/>
    <w:rsid w:val="00B67A8D"/>
    <w:rsid w:val="00B708B8"/>
    <w:rsid w:val="00B70E2A"/>
    <w:rsid w:val="00B71912"/>
    <w:rsid w:val="00B71E0D"/>
    <w:rsid w:val="00B7286A"/>
    <w:rsid w:val="00B73477"/>
    <w:rsid w:val="00B73BD7"/>
    <w:rsid w:val="00B7444F"/>
    <w:rsid w:val="00B74F9F"/>
    <w:rsid w:val="00B75203"/>
    <w:rsid w:val="00B75724"/>
    <w:rsid w:val="00B766B2"/>
    <w:rsid w:val="00B7744C"/>
    <w:rsid w:val="00B80711"/>
    <w:rsid w:val="00B809B0"/>
    <w:rsid w:val="00B81E12"/>
    <w:rsid w:val="00B820DD"/>
    <w:rsid w:val="00B83B6C"/>
    <w:rsid w:val="00B844B9"/>
    <w:rsid w:val="00B8517F"/>
    <w:rsid w:val="00B85662"/>
    <w:rsid w:val="00B86201"/>
    <w:rsid w:val="00B8766E"/>
    <w:rsid w:val="00B91547"/>
    <w:rsid w:val="00B91C96"/>
    <w:rsid w:val="00B91D1F"/>
    <w:rsid w:val="00B927F4"/>
    <w:rsid w:val="00B9476A"/>
    <w:rsid w:val="00B96A02"/>
    <w:rsid w:val="00BA05DA"/>
    <w:rsid w:val="00BA19F1"/>
    <w:rsid w:val="00BA1F30"/>
    <w:rsid w:val="00BA2128"/>
    <w:rsid w:val="00BA30E4"/>
    <w:rsid w:val="00BA37FC"/>
    <w:rsid w:val="00BA43B0"/>
    <w:rsid w:val="00BA4F8F"/>
    <w:rsid w:val="00BA5D61"/>
    <w:rsid w:val="00BA605B"/>
    <w:rsid w:val="00BA6410"/>
    <w:rsid w:val="00BA6CF3"/>
    <w:rsid w:val="00BA7324"/>
    <w:rsid w:val="00BA745A"/>
    <w:rsid w:val="00BB04DF"/>
    <w:rsid w:val="00BB2869"/>
    <w:rsid w:val="00BB3E60"/>
    <w:rsid w:val="00BB54A8"/>
    <w:rsid w:val="00BB59BC"/>
    <w:rsid w:val="00BB5ECE"/>
    <w:rsid w:val="00BB6EF1"/>
    <w:rsid w:val="00BB7DCC"/>
    <w:rsid w:val="00BC04FB"/>
    <w:rsid w:val="00BC15F2"/>
    <w:rsid w:val="00BC2ECB"/>
    <w:rsid w:val="00BC40B1"/>
    <w:rsid w:val="00BC4803"/>
    <w:rsid w:val="00BC4D34"/>
    <w:rsid w:val="00BC52C2"/>
    <w:rsid w:val="00BC53D7"/>
    <w:rsid w:val="00BC5D6A"/>
    <w:rsid w:val="00BC7571"/>
    <w:rsid w:val="00BC757D"/>
    <w:rsid w:val="00BC79F5"/>
    <w:rsid w:val="00BD0613"/>
    <w:rsid w:val="00BD0617"/>
    <w:rsid w:val="00BD0AC9"/>
    <w:rsid w:val="00BD0FA7"/>
    <w:rsid w:val="00BD1C56"/>
    <w:rsid w:val="00BD21FE"/>
    <w:rsid w:val="00BD3F74"/>
    <w:rsid w:val="00BD428B"/>
    <w:rsid w:val="00BD4789"/>
    <w:rsid w:val="00BD49C6"/>
    <w:rsid w:val="00BD4D67"/>
    <w:rsid w:val="00BD5652"/>
    <w:rsid w:val="00BD6583"/>
    <w:rsid w:val="00BD659E"/>
    <w:rsid w:val="00BD76FF"/>
    <w:rsid w:val="00BE0977"/>
    <w:rsid w:val="00BE0B6D"/>
    <w:rsid w:val="00BE0FB0"/>
    <w:rsid w:val="00BE2365"/>
    <w:rsid w:val="00BE2519"/>
    <w:rsid w:val="00BE2DD9"/>
    <w:rsid w:val="00BE3051"/>
    <w:rsid w:val="00BE52DD"/>
    <w:rsid w:val="00BE5724"/>
    <w:rsid w:val="00BE6596"/>
    <w:rsid w:val="00BE74F1"/>
    <w:rsid w:val="00BE77F6"/>
    <w:rsid w:val="00BF042F"/>
    <w:rsid w:val="00BF0660"/>
    <w:rsid w:val="00BF0CF8"/>
    <w:rsid w:val="00BF14AC"/>
    <w:rsid w:val="00BF3152"/>
    <w:rsid w:val="00BF34BB"/>
    <w:rsid w:val="00BF34DB"/>
    <w:rsid w:val="00BF3518"/>
    <w:rsid w:val="00BF3A3B"/>
    <w:rsid w:val="00BF3B34"/>
    <w:rsid w:val="00BF3D16"/>
    <w:rsid w:val="00BF42DD"/>
    <w:rsid w:val="00BF490F"/>
    <w:rsid w:val="00BF591A"/>
    <w:rsid w:val="00BF598E"/>
    <w:rsid w:val="00BF6067"/>
    <w:rsid w:val="00BF6395"/>
    <w:rsid w:val="00BF6599"/>
    <w:rsid w:val="00BF6E29"/>
    <w:rsid w:val="00C00918"/>
    <w:rsid w:val="00C0093B"/>
    <w:rsid w:val="00C00940"/>
    <w:rsid w:val="00C01063"/>
    <w:rsid w:val="00C01840"/>
    <w:rsid w:val="00C047FD"/>
    <w:rsid w:val="00C04862"/>
    <w:rsid w:val="00C052ED"/>
    <w:rsid w:val="00C05D25"/>
    <w:rsid w:val="00C07089"/>
    <w:rsid w:val="00C1053E"/>
    <w:rsid w:val="00C107D4"/>
    <w:rsid w:val="00C1163F"/>
    <w:rsid w:val="00C12C03"/>
    <w:rsid w:val="00C13403"/>
    <w:rsid w:val="00C13539"/>
    <w:rsid w:val="00C13613"/>
    <w:rsid w:val="00C15155"/>
    <w:rsid w:val="00C15693"/>
    <w:rsid w:val="00C15892"/>
    <w:rsid w:val="00C15902"/>
    <w:rsid w:val="00C15F5A"/>
    <w:rsid w:val="00C15FF7"/>
    <w:rsid w:val="00C16172"/>
    <w:rsid w:val="00C16798"/>
    <w:rsid w:val="00C17068"/>
    <w:rsid w:val="00C17D63"/>
    <w:rsid w:val="00C21DA2"/>
    <w:rsid w:val="00C21DA5"/>
    <w:rsid w:val="00C21FDF"/>
    <w:rsid w:val="00C22457"/>
    <w:rsid w:val="00C224FA"/>
    <w:rsid w:val="00C263DF"/>
    <w:rsid w:val="00C26961"/>
    <w:rsid w:val="00C26AFD"/>
    <w:rsid w:val="00C305CF"/>
    <w:rsid w:val="00C30B3F"/>
    <w:rsid w:val="00C3100F"/>
    <w:rsid w:val="00C3161C"/>
    <w:rsid w:val="00C31D9D"/>
    <w:rsid w:val="00C32824"/>
    <w:rsid w:val="00C33A63"/>
    <w:rsid w:val="00C34B9B"/>
    <w:rsid w:val="00C352B3"/>
    <w:rsid w:val="00C3765F"/>
    <w:rsid w:val="00C40675"/>
    <w:rsid w:val="00C40B70"/>
    <w:rsid w:val="00C410EF"/>
    <w:rsid w:val="00C42129"/>
    <w:rsid w:val="00C42B5B"/>
    <w:rsid w:val="00C43312"/>
    <w:rsid w:val="00C45FE6"/>
    <w:rsid w:val="00C46447"/>
    <w:rsid w:val="00C470D9"/>
    <w:rsid w:val="00C471C5"/>
    <w:rsid w:val="00C47B16"/>
    <w:rsid w:val="00C47BA7"/>
    <w:rsid w:val="00C5053A"/>
    <w:rsid w:val="00C50A7D"/>
    <w:rsid w:val="00C50B4F"/>
    <w:rsid w:val="00C515CA"/>
    <w:rsid w:val="00C52249"/>
    <w:rsid w:val="00C529C7"/>
    <w:rsid w:val="00C52D7F"/>
    <w:rsid w:val="00C52DCA"/>
    <w:rsid w:val="00C52E5C"/>
    <w:rsid w:val="00C53461"/>
    <w:rsid w:val="00C5358A"/>
    <w:rsid w:val="00C53938"/>
    <w:rsid w:val="00C53B5B"/>
    <w:rsid w:val="00C54C05"/>
    <w:rsid w:val="00C5514B"/>
    <w:rsid w:val="00C5525B"/>
    <w:rsid w:val="00C55FB2"/>
    <w:rsid w:val="00C56A83"/>
    <w:rsid w:val="00C56C25"/>
    <w:rsid w:val="00C56DB8"/>
    <w:rsid w:val="00C5794F"/>
    <w:rsid w:val="00C57EE7"/>
    <w:rsid w:val="00C60AFF"/>
    <w:rsid w:val="00C61674"/>
    <w:rsid w:val="00C63F54"/>
    <w:rsid w:val="00C64030"/>
    <w:rsid w:val="00C646C4"/>
    <w:rsid w:val="00C64976"/>
    <w:rsid w:val="00C65976"/>
    <w:rsid w:val="00C65D10"/>
    <w:rsid w:val="00C65E69"/>
    <w:rsid w:val="00C67B6A"/>
    <w:rsid w:val="00C708F4"/>
    <w:rsid w:val="00C714F3"/>
    <w:rsid w:val="00C71BEC"/>
    <w:rsid w:val="00C72255"/>
    <w:rsid w:val="00C72853"/>
    <w:rsid w:val="00C72B26"/>
    <w:rsid w:val="00C7425D"/>
    <w:rsid w:val="00C745A1"/>
    <w:rsid w:val="00C74A59"/>
    <w:rsid w:val="00C74D74"/>
    <w:rsid w:val="00C7515F"/>
    <w:rsid w:val="00C759CA"/>
    <w:rsid w:val="00C75F57"/>
    <w:rsid w:val="00C76378"/>
    <w:rsid w:val="00C765A4"/>
    <w:rsid w:val="00C770F5"/>
    <w:rsid w:val="00C7731D"/>
    <w:rsid w:val="00C774D5"/>
    <w:rsid w:val="00C81D7B"/>
    <w:rsid w:val="00C82230"/>
    <w:rsid w:val="00C827C0"/>
    <w:rsid w:val="00C83F09"/>
    <w:rsid w:val="00C83F23"/>
    <w:rsid w:val="00C84444"/>
    <w:rsid w:val="00C8528D"/>
    <w:rsid w:val="00C857F6"/>
    <w:rsid w:val="00C85FC6"/>
    <w:rsid w:val="00C877DD"/>
    <w:rsid w:val="00C8783B"/>
    <w:rsid w:val="00C87916"/>
    <w:rsid w:val="00C87BDD"/>
    <w:rsid w:val="00C92EE1"/>
    <w:rsid w:val="00C94655"/>
    <w:rsid w:val="00C94D9C"/>
    <w:rsid w:val="00C95705"/>
    <w:rsid w:val="00C957A9"/>
    <w:rsid w:val="00C958F9"/>
    <w:rsid w:val="00C9598E"/>
    <w:rsid w:val="00C95B22"/>
    <w:rsid w:val="00C95C89"/>
    <w:rsid w:val="00C95E57"/>
    <w:rsid w:val="00C97863"/>
    <w:rsid w:val="00C97A06"/>
    <w:rsid w:val="00CA0770"/>
    <w:rsid w:val="00CA221C"/>
    <w:rsid w:val="00CA32F3"/>
    <w:rsid w:val="00CA45CA"/>
    <w:rsid w:val="00CA660A"/>
    <w:rsid w:val="00CA6DAD"/>
    <w:rsid w:val="00CA6F2D"/>
    <w:rsid w:val="00CA6F30"/>
    <w:rsid w:val="00CA7FA2"/>
    <w:rsid w:val="00CB055C"/>
    <w:rsid w:val="00CB076A"/>
    <w:rsid w:val="00CB11EA"/>
    <w:rsid w:val="00CB14AF"/>
    <w:rsid w:val="00CB1C28"/>
    <w:rsid w:val="00CB233D"/>
    <w:rsid w:val="00CB309F"/>
    <w:rsid w:val="00CB3B4E"/>
    <w:rsid w:val="00CB438C"/>
    <w:rsid w:val="00CB4DBE"/>
    <w:rsid w:val="00CB5221"/>
    <w:rsid w:val="00CB53AB"/>
    <w:rsid w:val="00CB53D5"/>
    <w:rsid w:val="00CB55E1"/>
    <w:rsid w:val="00CB635A"/>
    <w:rsid w:val="00CB70EF"/>
    <w:rsid w:val="00CC0EE9"/>
    <w:rsid w:val="00CC0F48"/>
    <w:rsid w:val="00CC2358"/>
    <w:rsid w:val="00CC2C9F"/>
    <w:rsid w:val="00CC37B2"/>
    <w:rsid w:val="00CC3A89"/>
    <w:rsid w:val="00CC3B28"/>
    <w:rsid w:val="00CC3F7B"/>
    <w:rsid w:val="00CC418B"/>
    <w:rsid w:val="00CC493A"/>
    <w:rsid w:val="00CC4A4A"/>
    <w:rsid w:val="00CC4B01"/>
    <w:rsid w:val="00CC4B66"/>
    <w:rsid w:val="00CC4EB0"/>
    <w:rsid w:val="00CC4FFD"/>
    <w:rsid w:val="00CC5459"/>
    <w:rsid w:val="00CC59CD"/>
    <w:rsid w:val="00CC668D"/>
    <w:rsid w:val="00CC6B72"/>
    <w:rsid w:val="00CD03AD"/>
    <w:rsid w:val="00CD0F4A"/>
    <w:rsid w:val="00CD10C6"/>
    <w:rsid w:val="00CD1C23"/>
    <w:rsid w:val="00CD322E"/>
    <w:rsid w:val="00CD4AC4"/>
    <w:rsid w:val="00CD626D"/>
    <w:rsid w:val="00CD6797"/>
    <w:rsid w:val="00CD6A53"/>
    <w:rsid w:val="00CD7038"/>
    <w:rsid w:val="00CD7C5C"/>
    <w:rsid w:val="00CE0558"/>
    <w:rsid w:val="00CE2545"/>
    <w:rsid w:val="00CE37E1"/>
    <w:rsid w:val="00CE3CB4"/>
    <w:rsid w:val="00CE44B5"/>
    <w:rsid w:val="00CE4A3B"/>
    <w:rsid w:val="00CE5ACC"/>
    <w:rsid w:val="00CE6AA6"/>
    <w:rsid w:val="00CE6D31"/>
    <w:rsid w:val="00CE76E1"/>
    <w:rsid w:val="00CE7DD1"/>
    <w:rsid w:val="00CF0AD1"/>
    <w:rsid w:val="00CF0F03"/>
    <w:rsid w:val="00CF2815"/>
    <w:rsid w:val="00CF2B42"/>
    <w:rsid w:val="00CF2D6B"/>
    <w:rsid w:val="00CF3677"/>
    <w:rsid w:val="00CF398A"/>
    <w:rsid w:val="00CF3A5C"/>
    <w:rsid w:val="00CF3C72"/>
    <w:rsid w:val="00CF3D22"/>
    <w:rsid w:val="00CF4632"/>
    <w:rsid w:val="00CF4718"/>
    <w:rsid w:val="00CF661E"/>
    <w:rsid w:val="00CF69F8"/>
    <w:rsid w:val="00CF7190"/>
    <w:rsid w:val="00CF7836"/>
    <w:rsid w:val="00D00226"/>
    <w:rsid w:val="00D00B95"/>
    <w:rsid w:val="00D00F66"/>
    <w:rsid w:val="00D014B5"/>
    <w:rsid w:val="00D01F9B"/>
    <w:rsid w:val="00D02237"/>
    <w:rsid w:val="00D02A83"/>
    <w:rsid w:val="00D03D2D"/>
    <w:rsid w:val="00D03E26"/>
    <w:rsid w:val="00D04614"/>
    <w:rsid w:val="00D04A41"/>
    <w:rsid w:val="00D06D90"/>
    <w:rsid w:val="00D071F3"/>
    <w:rsid w:val="00D07D99"/>
    <w:rsid w:val="00D1217C"/>
    <w:rsid w:val="00D12B21"/>
    <w:rsid w:val="00D1316C"/>
    <w:rsid w:val="00D14316"/>
    <w:rsid w:val="00D14A4A"/>
    <w:rsid w:val="00D1506C"/>
    <w:rsid w:val="00D150E6"/>
    <w:rsid w:val="00D15DBA"/>
    <w:rsid w:val="00D16838"/>
    <w:rsid w:val="00D16C90"/>
    <w:rsid w:val="00D16CBB"/>
    <w:rsid w:val="00D20D00"/>
    <w:rsid w:val="00D21F1F"/>
    <w:rsid w:val="00D2327F"/>
    <w:rsid w:val="00D2443C"/>
    <w:rsid w:val="00D24E2F"/>
    <w:rsid w:val="00D25699"/>
    <w:rsid w:val="00D258AE"/>
    <w:rsid w:val="00D25A7D"/>
    <w:rsid w:val="00D27A0A"/>
    <w:rsid w:val="00D306DE"/>
    <w:rsid w:val="00D30929"/>
    <w:rsid w:val="00D3105A"/>
    <w:rsid w:val="00D31ACA"/>
    <w:rsid w:val="00D33077"/>
    <w:rsid w:val="00D34652"/>
    <w:rsid w:val="00D34B79"/>
    <w:rsid w:val="00D34CD4"/>
    <w:rsid w:val="00D34DEF"/>
    <w:rsid w:val="00D35519"/>
    <w:rsid w:val="00D35F81"/>
    <w:rsid w:val="00D37AA2"/>
    <w:rsid w:val="00D40671"/>
    <w:rsid w:val="00D40A92"/>
    <w:rsid w:val="00D40B7E"/>
    <w:rsid w:val="00D41B02"/>
    <w:rsid w:val="00D41FA3"/>
    <w:rsid w:val="00D43EEB"/>
    <w:rsid w:val="00D44B85"/>
    <w:rsid w:val="00D4621A"/>
    <w:rsid w:val="00D46DA6"/>
    <w:rsid w:val="00D47439"/>
    <w:rsid w:val="00D47BB6"/>
    <w:rsid w:val="00D50540"/>
    <w:rsid w:val="00D508EF"/>
    <w:rsid w:val="00D50BA9"/>
    <w:rsid w:val="00D51658"/>
    <w:rsid w:val="00D51FEC"/>
    <w:rsid w:val="00D53468"/>
    <w:rsid w:val="00D5456A"/>
    <w:rsid w:val="00D54662"/>
    <w:rsid w:val="00D54A98"/>
    <w:rsid w:val="00D54E45"/>
    <w:rsid w:val="00D5598C"/>
    <w:rsid w:val="00D561E3"/>
    <w:rsid w:val="00D561FB"/>
    <w:rsid w:val="00D567EA"/>
    <w:rsid w:val="00D57A83"/>
    <w:rsid w:val="00D6061D"/>
    <w:rsid w:val="00D60623"/>
    <w:rsid w:val="00D60CCE"/>
    <w:rsid w:val="00D618F5"/>
    <w:rsid w:val="00D6286F"/>
    <w:rsid w:val="00D644B0"/>
    <w:rsid w:val="00D65F5E"/>
    <w:rsid w:val="00D65F84"/>
    <w:rsid w:val="00D66277"/>
    <w:rsid w:val="00D67708"/>
    <w:rsid w:val="00D67DAB"/>
    <w:rsid w:val="00D701EA"/>
    <w:rsid w:val="00D717E0"/>
    <w:rsid w:val="00D73F45"/>
    <w:rsid w:val="00D742DB"/>
    <w:rsid w:val="00D751C9"/>
    <w:rsid w:val="00D755FC"/>
    <w:rsid w:val="00D756EB"/>
    <w:rsid w:val="00D769CC"/>
    <w:rsid w:val="00D81521"/>
    <w:rsid w:val="00D818F1"/>
    <w:rsid w:val="00D821D3"/>
    <w:rsid w:val="00D8243F"/>
    <w:rsid w:val="00D83422"/>
    <w:rsid w:val="00D84EEF"/>
    <w:rsid w:val="00D84EFB"/>
    <w:rsid w:val="00D850C2"/>
    <w:rsid w:val="00D85E72"/>
    <w:rsid w:val="00D86F0C"/>
    <w:rsid w:val="00D87F1A"/>
    <w:rsid w:val="00D90D79"/>
    <w:rsid w:val="00D90F54"/>
    <w:rsid w:val="00D916C8"/>
    <w:rsid w:val="00D93739"/>
    <w:rsid w:val="00D94053"/>
    <w:rsid w:val="00D97536"/>
    <w:rsid w:val="00D97BBE"/>
    <w:rsid w:val="00D97D39"/>
    <w:rsid w:val="00DA00B0"/>
    <w:rsid w:val="00DA0E40"/>
    <w:rsid w:val="00DA11E9"/>
    <w:rsid w:val="00DA24CE"/>
    <w:rsid w:val="00DA2591"/>
    <w:rsid w:val="00DA3ACF"/>
    <w:rsid w:val="00DA4155"/>
    <w:rsid w:val="00DA5350"/>
    <w:rsid w:val="00DA53AD"/>
    <w:rsid w:val="00DA5B92"/>
    <w:rsid w:val="00DA6139"/>
    <w:rsid w:val="00DA6AF3"/>
    <w:rsid w:val="00DA6C12"/>
    <w:rsid w:val="00DA7AC1"/>
    <w:rsid w:val="00DA7D61"/>
    <w:rsid w:val="00DB022E"/>
    <w:rsid w:val="00DB05D3"/>
    <w:rsid w:val="00DB1622"/>
    <w:rsid w:val="00DB1669"/>
    <w:rsid w:val="00DB33B9"/>
    <w:rsid w:val="00DB3808"/>
    <w:rsid w:val="00DB385D"/>
    <w:rsid w:val="00DB3F09"/>
    <w:rsid w:val="00DB4345"/>
    <w:rsid w:val="00DB4921"/>
    <w:rsid w:val="00DB4988"/>
    <w:rsid w:val="00DB5068"/>
    <w:rsid w:val="00DB5CAD"/>
    <w:rsid w:val="00DB5D6C"/>
    <w:rsid w:val="00DB68EC"/>
    <w:rsid w:val="00DB6BE8"/>
    <w:rsid w:val="00DB6F4F"/>
    <w:rsid w:val="00DB7BD6"/>
    <w:rsid w:val="00DB7FB1"/>
    <w:rsid w:val="00DC0039"/>
    <w:rsid w:val="00DC08E6"/>
    <w:rsid w:val="00DC1229"/>
    <w:rsid w:val="00DC1645"/>
    <w:rsid w:val="00DC2750"/>
    <w:rsid w:val="00DC28B9"/>
    <w:rsid w:val="00DC2B0C"/>
    <w:rsid w:val="00DC33A1"/>
    <w:rsid w:val="00DC3AF6"/>
    <w:rsid w:val="00DC4EF9"/>
    <w:rsid w:val="00DC54B4"/>
    <w:rsid w:val="00DC5828"/>
    <w:rsid w:val="00DC5D55"/>
    <w:rsid w:val="00DC5EDF"/>
    <w:rsid w:val="00DC652C"/>
    <w:rsid w:val="00DC6679"/>
    <w:rsid w:val="00DC6758"/>
    <w:rsid w:val="00DC6A67"/>
    <w:rsid w:val="00DD1486"/>
    <w:rsid w:val="00DD1550"/>
    <w:rsid w:val="00DD1685"/>
    <w:rsid w:val="00DD16C6"/>
    <w:rsid w:val="00DD2111"/>
    <w:rsid w:val="00DD2B30"/>
    <w:rsid w:val="00DD2C88"/>
    <w:rsid w:val="00DD2CAA"/>
    <w:rsid w:val="00DD2CB8"/>
    <w:rsid w:val="00DD3EEB"/>
    <w:rsid w:val="00DD455E"/>
    <w:rsid w:val="00DD4836"/>
    <w:rsid w:val="00DD643A"/>
    <w:rsid w:val="00DD6912"/>
    <w:rsid w:val="00DD7BDD"/>
    <w:rsid w:val="00DE0BD3"/>
    <w:rsid w:val="00DE1237"/>
    <w:rsid w:val="00DE17FF"/>
    <w:rsid w:val="00DE21E4"/>
    <w:rsid w:val="00DE2606"/>
    <w:rsid w:val="00DE31AC"/>
    <w:rsid w:val="00DE35CC"/>
    <w:rsid w:val="00DE4DFA"/>
    <w:rsid w:val="00DE534C"/>
    <w:rsid w:val="00DE639B"/>
    <w:rsid w:val="00DE7621"/>
    <w:rsid w:val="00DE7B8F"/>
    <w:rsid w:val="00DE7F57"/>
    <w:rsid w:val="00DF03BB"/>
    <w:rsid w:val="00DF11AC"/>
    <w:rsid w:val="00DF1669"/>
    <w:rsid w:val="00DF16AA"/>
    <w:rsid w:val="00DF19AD"/>
    <w:rsid w:val="00DF1FDD"/>
    <w:rsid w:val="00DF2041"/>
    <w:rsid w:val="00DF2DE4"/>
    <w:rsid w:val="00DF331C"/>
    <w:rsid w:val="00DF3691"/>
    <w:rsid w:val="00DF36B6"/>
    <w:rsid w:val="00DF3B28"/>
    <w:rsid w:val="00DF5376"/>
    <w:rsid w:val="00DF5CF2"/>
    <w:rsid w:val="00DF5DE1"/>
    <w:rsid w:val="00DF7D0A"/>
    <w:rsid w:val="00E009A4"/>
    <w:rsid w:val="00E00AAB"/>
    <w:rsid w:val="00E00E46"/>
    <w:rsid w:val="00E02B02"/>
    <w:rsid w:val="00E0337B"/>
    <w:rsid w:val="00E037B5"/>
    <w:rsid w:val="00E03836"/>
    <w:rsid w:val="00E0559F"/>
    <w:rsid w:val="00E06F02"/>
    <w:rsid w:val="00E07843"/>
    <w:rsid w:val="00E07A36"/>
    <w:rsid w:val="00E103F9"/>
    <w:rsid w:val="00E1085A"/>
    <w:rsid w:val="00E11B0A"/>
    <w:rsid w:val="00E128EC"/>
    <w:rsid w:val="00E12DA1"/>
    <w:rsid w:val="00E1308A"/>
    <w:rsid w:val="00E13AE0"/>
    <w:rsid w:val="00E145D9"/>
    <w:rsid w:val="00E157C7"/>
    <w:rsid w:val="00E15E76"/>
    <w:rsid w:val="00E1664E"/>
    <w:rsid w:val="00E16699"/>
    <w:rsid w:val="00E17427"/>
    <w:rsid w:val="00E17514"/>
    <w:rsid w:val="00E17FA6"/>
    <w:rsid w:val="00E21EEE"/>
    <w:rsid w:val="00E223E6"/>
    <w:rsid w:val="00E2297B"/>
    <w:rsid w:val="00E232E9"/>
    <w:rsid w:val="00E24009"/>
    <w:rsid w:val="00E25B4F"/>
    <w:rsid w:val="00E2611F"/>
    <w:rsid w:val="00E27079"/>
    <w:rsid w:val="00E30B02"/>
    <w:rsid w:val="00E31BF4"/>
    <w:rsid w:val="00E31E99"/>
    <w:rsid w:val="00E32021"/>
    <w:rsid w:val="00E32098"/>
    <w:rsid w:val="00E330D2"/>
    <w:rsid w:val="00E338C7"/>
    <w:rsid w:val="00E3468D"/>
    <w:rsid w:val="00E36B8D"/>
    <w:rsid w:val="00E37853"/>
    <w:rsid w:val="00E37983"/>
    <w:rsid w:val="00E37FDC"/>
    <w:rsid w:val="00E41F5E"/>
    <w:rsid w:val="00E42DF3"/>
    <w:rsid w:val="00E43959"/>
    <w:rsid w:val="00E4488A"/>
    <w:rsid w:val="00E4668A"/>
    <w:rsid w:val="00E46FB1"/>
    <w:rsid w:val="00E47269"/>
    <w:rsid w:val="00E50A36"/>
    <w:rsid w:val="00E51172"/>
    <w:rsid w:val="00E511E2"/>
    <w:rsid w:val="00E51323"/>
    <w:rsid w:val="00E514C4"/>
    <w:rsid w:val="00E51975"/>
    <w:rsid w:val="00E51AB6"/>
    <w:rsid w:val="00E52597"/>
    <w:rsid w:val="00E534B9"/>
    <w:rsid w:val="00E537C8"/>
    <w:rsid w:val="00E55560"/>
    <w:rsid w:val="00E56A48"/>
    <w:rsid w:val="00E571DE"/>
    <w:rsid w:val="00E57B15"/>
    <w:rsid w:val="00E601BC"/>
    <w:rsid w:val="00E60539"/>
    <w:rsid w:val="00E6116B"/>
    <w:rsid w:val="00E61D3F"/>
    <w:rsid w:val="00E61F0A"/>
    <w:rsid w:val="00E626E9"/>
    <w:rsid w:val="00E6340F"/>
    <w:rsid w:val="00E63FE7"/>
    <w:rsid w:val="00E64DEF"/>
    <w:rsid w:val="00E6511E"/>
    <w:rsid w:val="00E66864"/>
    <w:rsid w:val="00E668BD"/>
    <w:rsid w:val="00E66BE0"/>
    <w:rsid w:val="00E6788F"/>
    <w:rsid w:val="00E67EA1"/>
    <w:rsid w:val="00E70B02"/>
    <w:rsid w:val="00E7197E"/>
    <w:rsid w:val="00E72138"/>
    <w:rsid w:val="00E72D51"/>
    <w:rsid w:val="00E73193"/>
    <w:rsid w:val="00E73A10"/>
    <w:rsid w:val="00E73E69"/>
    <w:rsid w:val="00E74589"/>
    <w:rsid w:val="00E74CEF"/>
    <w:rsid w:val="00E753AE"/>
    <w:rsid w:val="00E754DB"/>
    <w:rsid w:val="00E75CA4"/>
    <w:rsid w:val="00E7618B"/>
    <w:rsid w:val="00E768E0"/>
    <w:rsid w:val="00E81646"/>
    <w:rsid w:val="00E81C45"/>
    <w:rsid w:val="00E83CFB"/>
    <w:rsid w:val="00E84253"/>
    <w:rsid w:val="00E84259"/>
    <w:rsid w:val="00E8584B"/>
    <w:rsid w:val="00E85944"/>
    <w:rsid w:val="00E863FC"/>
    <w:rsid w:val="00E86BEF"/>
    <w:rsid w:val="00E86E2F"/>
    <w:rsid w:val="00E87418"/>
    <w:rsid w:val="00E9131D"/>
    <w:rsid w:val="00E9185E"/>
    <w:rsid w:val="00E91B55"/>
    <w:rsid w:val="00E93754"/>
    <w:rsid w:val="00E93D40"/>
    <w:rsid w:val="00E94162"/>
    <w:rsid w:val="00E955F2"/>
    <w:rsid w:val="00E970F7"/>
    <w:rsid w:val="00E97706"/>
    <w:rsid w:val="00EA12EF"/>
    <w:rsid w:val="00EA15DA"/>
    <w:rsid w:val="00EA1626"/>
    <w:rsid w:val="00EA1EC2"/>
    <w:rsid w:val="00EA2391"/>
    <w:rsid w:val="00EA2AE0"/>
    <w:rsid w:val="00EA2DE8"/>
    <w:rsid w:val="00EA3670"/>
    <w:rsid w:val="00EA3C2C"/>
    <w:rsid w:val="00EA5891"/>
    <w:rsid w:val="00EA65B6"/>
    <w:rsid w:val="00EA6AFF"/>
    <w:rsid w:val="00EA6C43"/>
    <w:rsid w:val="00EA7163"/>
    <w:rsid w:val="00EA7694"/>
    <w:rsid w:val="00EA7B40"/>
    <w:rsid w:val="00EA7DC0"/>
    <w:rsid w:val="00EB12A7"/>
    <w:rsid w:val="00EB2319"/>
    <w:rsid w:val="00EB3C47"/>
    <w:rsid w:val="00EB445E"/>
    <w:rsid w:val="00EB4973"/>
    <w:rsid w:val="00EB636E"/>
    <w:rsid w:val="00EB6F0A"/>
    <w:rsid w:val="00EB76B5"/>
    <w:rsid w:val="00EB7880"/>
    <w:rsid w:val="00EB79D1"/>
    <w:rsid w:val="00EB7A46"/>
    <w:rsid w:val="00EC00A9"/>
    <w:rsid w:val="00EC08D7"/>
    <w:rsid w:val="00EC1DAF"/>
    <w:rsid w:val="00EC20A7"/>
    <w:rsid w:val="00EC253E"/>
    <w:rsid w:val="00EC254A"/>
    <w:rsid w:val="00EC2FA7"/>
    <w:rsid w:val="00EC3AD1"/>
    <w:rsid w:val="00EC411C"/>
    <w:rsid w:val="00EC4E9A"/>
    <w:rsid w:val="00EC5104"/>
    <w:rsid w:val="00EC6639"/>
    <w:rsid w:val="00EC7589"/>
    <w:rsid w:val="00EC7F5A"/>
    <w:rsid w:val="00ED053C"/>
    <w:rsid w:val="00ED0691"/>
    <w:rsid w:val="00ED0DC4"/>
    <w:rsid w:val="00ED0DCA"/>
    <w:rsid w:val="00ED1108"/>
    <w:rsid w:val="00ED1314"/>
    <w:rsid w:val="00ED15C7"/>
    <w:rsid w:val="00ED1D68"/>
    <w:rsid w:val="00ED1E54"/>
    <w:rsid w:val="00ED2582"/>
    <w:rsid w:val="00ED2869"/>
    <w:rsid w:val="00ED34F6"/>
    <w:rsid w:val="00ED3BD4"/>
    <w:rsid w:val="00ED4B09"/>
    <w:rsid w:val="00ED55A6"/>
    <w:rsid w:val="00ED5ADD"/>
    <w:rsid w:val="00ED6578"/>
    <w:rsid w:val="00ED672E"/>
    <w:rsid w:val="00ED745D"/>
    <w:rsid w:val="00ED7A94"/>
    <w:rsid w:val="00EE0054"/>
    <w:rsid w:val="00EE0A15"/>
    <w:rsid w:val="00EE1ABB"/>
    <w:rsid w:val="00EE2ACE"/>
    <w:rsid w:val="00EE40FC"/>
    <w:rsid w:val="00EE4C41"/>
    <w:rsid w:val="00EE4D5C"/>
    <w:rsid w:val="00EE52C0"/>
    <w:rsid w:val="00EE63D8"/>
    <w:rsid w:val="00EE6692"/>
    <w:rsid w:val="00EE7560"/>
    <w:rsid w:val="00EE7A71"/>
    <w:rsid w:val="00EF05D9"/>
    <w:rsid w:val="00EF0708"/>
    <w:rsid w:val="00EF0B9E"/>
    <w:rsid w:val="00EF0E12"/>
    <w:rsid w:val="00EF1049"/>
    <w:rsid w:val="00EF12B6"/>
    <w:rsid w:val="00EF15D4"/>
    <w:rsid w:val="00EF187B"/>
    <w:rsid w:val="00EF1A5A"/>
    <w:rsid w:val="00EF24BB"/>
    <w:rsid w:val="00EF2F2A"/>
    <w:rsid w:val="00EF3516"/>
    <w:rsid w:val="00EF3F93"/>
    <w:rsid w:val="00EF46FF"/>
    <w:rsid w:val="00EF4A00"/>
    <w:rsid w:val="00EF5249"/>
    <w:rsid w:val="00EF54C7"/>
    <w:rsid w:val="00EF591C"/>
    <w:rsid w:val="00EF6845"/>
    <w:rsid w:val="00EF7DE9"/>
    <w:rsid w:val="00F003FB"/>
    <w:rsid w:val="00F00696"/>
    <w:rsid w:val="00F00AA8"/>
    <w:rsid w:val="00F00DD9"/>
    <w:rsid w:val="00F011C1"/>
    <w:rsid w:val="00F013D8"/>
    <w:rsid w:val="00F01472"/>
    <w:rsid w:val="00F014B4"/>
    <w:rsid w:val="00F015A7"/>
    <w:rsid w:val="00F0164B"/>
    <w:rsid w:val="00F01CC6"/>
    <w:rsid w:val="00F01EA4"/>
    <w:rsid w:val="00F02B11"/>
    <w:rsid w:val="00F02DAF"/>
    <w:rsid w:val="00F0302A"/>
    <w:rsid w:val="00F0420E"/>
    <w:rsid w:val="00F04E3D"/>
    <w:rsid w:val="00F051CC"/>
    <w:rsid w:val="00F058EF"/>
    <w:rsid w:val="00F06A16"/>
    <w:rsid w:val="00F11143"/>
    <w:rsid w:val="00F11CBE"/>
    <w:rsid w:val="00F129A9"/>
    <w:rsid w:val="00F13AB2"/>
    <w:rsid w:val="00F14071"/>
    <w:rsid w:val="00F14671"/>
    <w:rsid w:val="00F14F94"/>
    <w:rsid w:val="00F1558D"/>
    <w:rsid w:val="00F15E7E"/>
    <w:rsid w:val="00F15F96"/>
    <w:rsid w:val="00F1717F"/>
    <w:rsid w:val="00F175A2"/>
    <w:rsid w:val="00F17AC5"/>
    <w:rsid w:val="00F17C09"/>
    <w:rsid w:val="00F17F79"/>
    <w:rsid w:val="00F20291"/>
    <w:rsid w:val="00F209B8"/>
    <w:rsid w:val="00F2116F"/>
    <w:rsid w:val="00F21763"/>
    <w:rsid w:val="00F222AD"/>
    <w:rsid w:val="00F22846"/>
    <w:rsid w:val="00F23008"/>
    <w:rsid w:val="00F239FF"/>
    <w:rsid w:val="00F2416A"/>
    <w:rsid w:val="00F24274"/>
    <w:rsid w:val="00F24760"/>
    <w:rsid w:val="00F249A1"/>
    <w:rsid w:val="00F25327"/>
    <w:rsid w:val="00F26597"/>
    <w:rsid w:val="00F26A0E"/>
    <w:rsid w:val="00F26D6F"/>
    <w:rsid w:val="00F26E11"/>
    <w:rsid w:val="00F27491"/>
    <w:rsid w:val="00F2775F"/>
    <w:rsid w:val="00F30151"/>
    <w:rsid w:val="00F30EEC"/>
    <w:rsid w:val="00F312E2"/>
    <w:rsid w:val="00F317A7"/>
    <w:rsid w:val="00F34519"/>
    <w:rsid w:val="00F34B95"/>
    <w:rsid w:val="00F34F01"/>
    <w:rsid w:val="00F3543C"/>
    <w:rsid w:val="00F359F8"/>
    <w:rsid w:val="00F3688C"/>
    <w:rsid w:val="00F37E74"/>
    <w:rsid w:val="00F402BC"/>
    <w:rsid w:val="00F40EBA"/>
    <w:rsid w:val="00F41412"/>
    <w:rsid w:val="00F419D0"/>
    <w:rsid w:val="00F41F3D"/>
    <w:rsid w:val="00F42FBB"/>
    <w:rsid w:val="00F433E1"/>
    <w:rsid w:val="00F44CC2"/>
    <w:rsid w:val="00F45794"/>
    <w:rsid w:val="00F45F3B"/>
    <w:rsid w:val="00F4636C"/>
    <w:rsid w:val="00F463EA"/>
    <w:rsid w:val="00F46A05"/>
    <w:rsid w:val="00F46FF6"/>
    <w:rsid w:val="00F477CD"/>
    <w:rsid w:val="00F47BF6"/>
    <w:rsid w:val="00F47C28"/>
    <w:rsid w:val="00F47D72"/>
    <w:rsid w:val="00F5085E"/>
    <w:rsid w:val="00F50EC6"/>
    <w:rsid w:val="00F517A6"/>
    <w:rsid w:val="00F517E1"/>
    <w:rsid w:val="00F52BC2"/>
    <w:rsid w:val="00F52C6D"/>
    <w:rsid w:val="00F52E4D"/>
    <w:rsid w:val="00F5368F"/>
    <w:rsid w:val="00F53A6B"/>
    <w:rsid w:val="00F542EC"/>
    <w:rsid w:val="00F54A45"/>
    <w:rsid w:val="00F54CBA"/>
    <w:rsid w:val="00F55FFD"/>
    <w:rsid w:val="00F56316"/>
    <w:rsid w:val="00F565A2"/>
    <w:rsid w:val="00F56DA3"/>
    <w:rsid w:val="00F56E68"/>
    <w:rsid w:val="00F572FF"/>
    <w:rsid w:val="00F579B5"/>
    <w:rsid w:val="00F57D1C"/>
    <w:rsid w:val="00F600C8"/>
    <w:rsid w:val="00F608A7"/>
    <w:rsid w:val="00F62775"/>
    <w:rsid w:val="00F62B15"/>
    <w:rsid w:val="00F64614"/>
    <w:rsid w:val="00F6476A"/>
    <w:rsid w:val="00F64B35"/>
    <w:rsid w:val="00F6511C"/>
    <w:rsid w:val="00F65945"/>
    <w:rsid w:val="00F668A9"/>
    <w:rsid w:val="00F66AB1"/>
    <w:rsid w:val="00F66BAD"/>
    <w:rsid w:val="00F67888"/>
    <w:rsid w:val="00F67E4F"/>
    <w:rsid w:val="00F70911"/>
    <w:rsid w:val="00F70DB2"/>
    <w:rsid w:val="00F7163F"/>
    <w:rsid w:val="00F72077"/>
    <w:rsid w:val="00F7284B"/>
    <w:rsid w:val="00F72A3F"/>
    <w:rsid w:val="00F75CD1"/>
    <w:rsid w:val="00F76443"/>
    <w:rsid w:val="00F76C50"/>
    <w:rsid w:val="00F80229"/>
    <w:rsid w:val="00F80504"/>
    <w:rsid w:val="00F81243"/>
    <w:rsid w:val="00F8164D"/>
    <w:rsid w:val="00F82157"/>
    <w:rsid w:val="00F829EB"/>
    <w:rsid w:val="00F83C6F"/>
    <w:rsid w:val="00F83F04"/>
    <w:rsid w:val="00F84687"/>
    <w:rsid w:val="00F8554B"/>
    <w:rsid w:val="00F85B74"/>
    <w:rsid w:val="00F8646B"/>
    <w:rsid w:val="00F86658"/>
    <w:rsid w:val="00F86AD3"/>
    <w:rsid w:val="00F872DA"/>
    <w:rsid w:val="00F87461"/>
    <w:rsid w:val="00F9068F"/>
    <w:rsid w:val="00F910C9"/>
    <w:rsid w:val="00F91111"/>
    <w:rsid w:val="00F91490"/>
    <w:rsid w:val="00F914EE"/>
    <w:rsid w:val="00F925B8"/>
    <w:rsid w:val="00F93942"/>
    <w:rsid w:val="00F93AB3"/>
    <w:rsid w:val="00F93E47"/>
    <w:rsid w:val="00F94820"/>
    <w:rsid w:val="00F948CE"/>
    <w:rsid w:val="00F95FF1"/>
    <w:rsid w:val="00F9627B"/>
    <w:rsid w:val="00F96468"/>
    <w:rsid w:val="00F964C8"/>
    <w:rsid w:val="00F96C9F"/>
    <w:rsid w:val="00F9754B"/>
    <w:rsid w:val="00FA1AFD"/>
    <w:rsid w:val="00FA1C01"/>
    <w:rsid w:val="00FA2C87"/>
    <w:rsid w:val="00FA42E2"/>
    <w:rsid w:val="00FA4839"/>
    <w:rsid w:val="00FA5908"/>
    <w:rsid w:val="00FA62D1"/>
    <w:rsid w:val="00FA678F"/>
    <w:rsid w:val="00FA6E74"/>
    <w:rsid w:val="00FA73C5"/>
    <w:rsid w:val="00FB0EBB"/>
    <w:rsid w:val="00FB129C"/>
    <w:rsid w:val="00FB2DBA"/>
    <w:rsid w:val="00FB4F7D"/>
    <w:rsid w:val="00FB652D"/>
    <w:rsid w:val="00FB6E5E"/>
    <w:rsid w:val="00FB74A7"/>
    <w:rsid w:val="00FC083E"/>
    <w:rsid w:val="00FC107D"/>
    <w:rsid w:val="00FC2047"/>
    <w:rsid w:val="00FC3FFE"/>
    <w:rsid w:val="00FC5064"/>
    <w:rsid w:val="00FC54B1"/>
    <w:rsid w:val="00FC616D"/>
    <w:rsid w:val="00FC6695"/>
    <w:rsid w:val="00FC74EF"/>
    <w:rsid w:val="00FD14F7"/>
    <w:rsid w:val="00FD1697"/>
    <w:rsid w:val="00FD1AF9"/>
    <w:rsid w:val="00FD2D8C"/>
    <w:rsid w:val="00FD40EF"/>
    <w:rsid w:val="00FD41CF"/>
    <w:rsid w:val="00FD4699"/>
    <w:rsid w:val="00FD4CD4"/>
    <w:rsid w:val="00FD5EA8"/>
    <w:rsid w:val="00FD6784"/>
    <w:rsid w:val="00FD6EB6"/>
    <w:rsid w:val="00FD70B0"/>
    <w:rsid w:val="00FD711E"/>
    <w:rsid w:val="00FD7704"/>
    <w:rsid w:val="00FD7A8B"/>
    <w:rsid w:val="00FE06CF"/>
    <w:rsid w:val="00FE2674"/>
    <w:rsid w:val="00FE2D9D"/>
    <w:rsid w:val="00FE39F6"/>
    <w:rsid w:val="00FE3AF6"/>
    <w:rsid w:val="00FE4AEE"/>
    <w:rsid w:val="00FE5028"/>
    <w:rsid w:val="00FE6140"/>
    <w:rsid w:val="00FE77FF"/>
    <w:rsid w:val="00FE79A4"/>
    <w:rsid w:val="00FE7C2F"/>
    <w:rsid w:val="00FF0149"/>
    <w:rsid w:val="00FF024F"/>
    <w:rsid w:val="00FF0F02"/>
    <w:rsid w:val="00FF767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8848EE2-2CEE-4DC6-9679-7862E4D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7284B"/>
    <w:pPr>
      <w:jc w:val="both"/>
    </w:pPr>
    <w:rPr>
      <w:rFonts w:asciiTheme="minorHAnsi" w:hAnsiTheme="minorHAnsi"/>
      <w:sz w:val="22"/>
      <w:szCs w:val="24"/>
    </w:rPr>
  </w:style>
  <w:style w:type="paragraph" w:styleId="Heading1">
    <w:name w:val="heading 1"/>
    <w:basedOn w:val="Normal"/>
    <w:next w:val="Normal"/>
    <w:link w:val="Heading1Char"/>
    <w:qFormat/>
    <w:rsid w:val="001C63ED"/>
    <w:pPr>
      <w:keepNext/>
      <w:spacing w:after="240"/>
      <w:jc w:val="center"/>
      <w:outlineLvl w:val="0"/>
    </w:pPr>
    <w:rPr>
      <w:bCs/>
      <w:color w:val="1F497D" w:themeColor="text2"/>
      <w:sz w:val="40"/>
    </w:rPr>
  </w:style>
  <w:style w:type="paragraph" w:styleId="Heading2">
    <w:name w:val="heading 2"/>
    <w:basedOn w:val="Normal"/>
    <w:next w:val="Normal"/>
    <w:link w:val="Heading2Char"/>
    <w:qFormat/>
    <w:rsid w:val="001C63ED"/>
    <w:pPr>
      <w:keepNext/>
      <w:jc w:val="left"/>
      <w:outlineLvl w:val="1"/>
    </w:pPr>
    <w:rPr>
      <w:bCs/>
      <w:color w:val="17365D" w:themeColor="text2" w:themeShade="BF"/>
      <w:sz w:val="32"/>
    </w:rPr>
  </w:style>
  <w:style w:type="paragraph" w:styleId="Heading3">
    <w:name w:val="heading 3"/>
    <w:basedOn w:val="Normal"/>
    <w:next w:val="Normal"/>
    <w:link w:val="Heading3Char"/>
    <w:uiPriority w:val="9"/>
    <w:qFormat/>
    <w:rsid w:val="000B57E4"/>
    <w:pPr>
      <w:keepNext/>
      <w:outlineLvl w:val="2"/>
    </w:pPr>
    <w:rPr>
      <w:rFonts w:ascii="Arial" w:hAnsi="Arial"/>
      <w:b/>
      <w:bCs/>
      <w:color w:val="1F497D" w:themeColor="text2"/>
      <w:sz w:val="28"/>
    </w:rPr>
  </w:style>
  <w:style w:type="paragraph" w:styleId="Heading4">
    <w:name w:val="heading 4"/>
    <w:basedOn w:val="Normal"/>
    <w:next w:val="Normal"/>
    <w:link w:val="Heading4Char"/>
    <w:uiPriority w:val="9"/>
    <w:qFormat/>
    <w:rsid w:val="00825B83"/>
    <w:pPr>
      <w:keepNext/>
      <w:outlineLvl w:val="3"/>
    </w:pPr>
    <w:rPr>
      <w:b/>
      <w:bCs/>
      <w:color w:val="1F497D" w:themeColor="text2"/>
      <w:sz w:val="24"/>
    </w:rPr>
  </w:style>
  <w:style w:type="paragraph" w:styleId="Heading5">
    <w:name w:val="heading 5"/>
    <w:basedOn w:val="Normal"/>
    <w:next w:val="Normal"/>
    <w:link w:val="Heading5Char"/>
    <w:uiPriority w:val="9"/>
    <w:qFormat/>
    <w:rsid w:val="00185695"/>
    <w:pPr>
      <w:keepNext/>
      <w:outlineLvl w:val="4"/>
    </w:pPr>
    <w:rPr>
      <w:b/>
      <w:bCs/>
    </w:rPr>
  </w:style>
  <w:style w:type="paragraph" w:styleId="Heading6">
    <w:name w:val="heading 6"/>
    <w:basedOn w:val="Normal"/>
    <w:next w:val="Normal"/>
    <w:link w:val="Heading6Char"/>
    <w:uiPriority w:val="9"/>
    <w:qFormat/>
    <w:rsid w:val="001C63ED"/>
    <w:pPr>
      <w:keepNext/>
      <w:spacing w:before="60" w:after="60"/>
      <w:outlineLvl w:val="5"/>
    </w:pPr>
    <w:rPr>
      <w:b/>
      <w:bCs/>
      <w:i/>
      <w:iCs/>
    </w:rPr>
  </w:style>
  <w:style w:type="paragraph" w:styleId="Heading7">
    <w:name w:val="heading 7"/>
    <w:basedOn w:val="Normal"/>
    <w:next w:val="Normal"/>
    <w:link w:val="Heading7Char"/>
    <w:uiPriority w:val="9"/>
    <w:qFormat/>
    <w:rsid w:val="00B262F8"/>
    <w:pPr>
      <w:keepNext/>
      <w:outlineLvl w:val="6"/>
    </w:pPr>
    <w:rPr>
      <w:b/>
      <w:bCs/>
      <w:sz w:val="20"/>
    </w:rPr>
  </w:style>
  <w:style w:type="paragraph" w:styleId="Heading8">
    <w:name w:val="heading 8"/>
    <w:basedOn w:val="Normal"/>
    <w:next w:val="Normal"/>
    <w:link w:val="Heading8Char"/>
    <w:uiPriority w:val="9"/>
    <w:qFormat/>
    <w:rsid w:val="00B262F8"/>
    <w:pPr>
      <w:keepNext/>
      <w:spacing w:after="120"/>
      <w:jc w:val="center"/>
      <w:outlineLvl w:val="7"/>
    </w:pPr>
    <w:rPr>
      <w:b/>
      <w:bCs/>
    </w:rPr>
  </w:style>
  <w:style w:type="paragraph" w:styleId="Heading9">
    <w:name w:val="heading 9"/>
    <w:basedOn w:val="Normal"/>
    <w:next w:val="Normal"/>
    <w:link w:val="Heading9Char"/>
    <w:uiPriority w:val="9"/>
    <w:semiHidden/>
    <w:unhideWhenUsed/>
    <w:qFormat/>
    <w:rsid w:val="00FF768E"/>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695"/>
    <w:pPr>
      <w:jc w:val="center"/>
    </w:pPr>
    <w:rPr>
      <w:b/>
      <w:bCs/>
    </w:rPr>
  </w:style>
  <w:style w:type="paragraph" w:styleId="BodyText">
    <w:name w:val="Body Text"/>
    <w:basedOn w:val="Normal"/>
    <w:link w:val="BodyTextChar"/>
    <w:rsid w:val="00185695"/>
    <w:rPr>
      <w:sz w:val="20"/>
    </w:rPr>
  </w:style>
  <w:style w:type="paragraph" w:styleId="BodyText2">
    <w:name w:val="Body Text 2"/>
    <w:basedOn w:val="Normal"/>
    <w:link w:val="BodyText2Char"/>
    <w:rsid w:val="00185695"/>
  </w:style>
  <w:style w:type="character" w:styleId="FootnoteReference">
    <w:name w:val="footnote reference"/>
    <w:aliases w:val="Ref,de nota al pie,ftref"/>
    <w:basedOn w:val="DefaultParagraphFont"/>
    <w:uiPriority w:val="99"/>
    <w:semiHidden/>
    <w:rsid w:val="00185695"/>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uiPriority w:val="99"/>
    <w:rsid w:val="00185695"/>
    <w:rPr>
      <w:sz w:val="20"/>
      <w:szCs w:val="20"/>
    </w:rPr>
  </w:style>
  <w:style w:type="paragraph" w:styleId="BodyTextIndent">
    <w:name w:val="Body Text Indent"/>
    <w:basedOn w:val="Normal"/>
    <w:link w:val="BodyTextIndentChar"/>
    <w:rsid w:val="00185695"/>
    <w:pPr>
      <w:ind w:left="720" w:hanging="720"/>
    </w:pPr>
  </w:style>
  <w:style w:type="paragraph" w:styleId="BodyText3">
    <w:name w:val="Body Text 3"/>
    <w:basedOn w:val="Normal"/>
    <w:link w:val="BodyText3Char"/>
    <w:uiPriority w:val="99"/>
    <w:rsid w:val="00185695"/>
  </w:style>
  <w:style w:type="paragraph" w:styleId="Footer">
    <w:name w:val="footer"/>
    <w:basedOn w:val="Normal"/>
    <w:link w:val="FooterChar"/>
    <w:uiPriority w:val="99"/>
    <w:rsid w:val="00185695"/>
    <w:pPr>
      <w:tabs>
        <w:tab w:val="center" w:pos="4320"/>
        <w:tab w:val="right" w:pos="8640"/>
      </w:tabs>
    </w:pPr>
  </w:style>
  <w:style w:type="character" w:styleId="PageNumber">
    <w:name w:val="page number"/>
    <w:basedOn w:val="DefaultParagraphFont"/>
    <w:rsid w:val="00185695"/>
  </w:style>
  <w:style w:type="paragraph" w:styleId="BodyTextIndent2">
    <w:name w:val="Body Text Indent 2"/>
    <w:basedOn w:val="Normal"/>
    <w:rsid w:val="00185695"/>
    <w:pPr>
      <w:ind w:left="720" w:hanging="720"/>
    </w:pPr>
  </w:style>
  <w:style w:type="paragraph" w:styleId="BalloonText">
    <w:name w:val="Balloon Text"/>
    <w:basedOn w:val="Normal"/>
    <w:link w:val="BalloonTextChar"/>
    <w:uiPriority w:val="99"/>
    <w:semiHidden/>
    <w:rsid w:val="00015C0D"/>
    <w:rPr>
      <w:rFonts w:ascii="Tahoma" w:hAnsi="Tahoma" w:cs="Tahoma"/>
      <w:sz w:val="16"/>
      <w:szCs w:val="16"/>
    </w:rPr>
  </w:style>
  <w:style w:type="table" w:styleId="TableGrid">
    <w:name w:val="Table Grid"/>
    <w:aliases w:val="TabelEcorys"/>
    <w:basedOn w:val="TableNormal"/>
    <w:uiPriority w:val="39"/>
    <w:rsid w:val="003F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2F8"/>
    <w:pPr>
      <w:tabs>
        <w:tab w:val="center" w:pos="4320"/>
        <w:tab w:val="right" w:pos="8640"/>
      </w:tabs>
    </w:pPr>
  </w:style>
  <w:style w:type="paragraph" w:styleId="BlockText">
    <w:name w:val="Block Text"/>
    <w:basedOn w:val="Normal"/>
    <w:rsid w:val="00B262F8"/>
    <w:pPr>
      <w:ind w:left="1140" w:right="-180"/>
    </w:pPr>
    <w:rPr>
      <w:i/>
      <w:iCs/>
    </w:rPr>
  </w:style>
  <w:style w:type="character" w:styleId="Hyperlink">
    <w:name w:val="Hyperlink"/>
    <w:basedOn w:val="DefaultParagraphFont"/>
    <w:uiPriority w:val="99"/>
    <w:rsid w:val="00CC5459"/>
    <w:rPr>
      <w:color w:val="0000FF"/>
      <w:u w:val="single"/>
    </w:rPr>
  </w:style>
  <w:style w:type="paragraph" w:customStyle="1" w:styleId="Default">
    <w:name w:val="Default"/>
    <w:rsid w:val="000A0DCD"/>
    <w:pPr>
      <w:autoSpaceDE w:val="0"/>
      <w:autoSpaceDN w:val="0"/>
      <w:adjustRightInd w:val="0"/>
    </w:pPr>
    <w:rPr>
      <w:rFonts w:ascii="Arial" w:hAnsi="Arial" w:cs="Arial"/>
      <w:color w:val="000000"/>
      <w:sz w:val="24"/>
      <w:szCs w:val="24"/>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uiPriority w:val="99"/>
    <w:locked/>
    <w:rsid w:val="00CC4A4A"/>
  </w:style>
  <w:style w:type="character" w:customStyle="1" w:styleId="FooterChar">
    <w:name w:val="Footer Char"/>
    <w:basedOn w:val="DefaultParagraphFont"/>
    <w:link w:val="Footer"/>
    <w:uiPriority w:val="99"/>
    <w:rsid w:val="0007126F"/>
    <w:rPr>
      <w:sz w:val="24"/>
      <w:szCs w:val="24"/>
    </w:rPr>
  </w:style>
  <w:style w:type="paragraph" w:styleId="ListParagraph">
    <w:name w:val="List Paragraph"/>
    <w:basedOn w:val="Normal"/>
    <w:link w:val="ListParagraphChar"/>
    <w:uiPriority w:val="34"/>
    <w:qFormat/>
    <w:rsid w:val="003B6955"/>
    <w:pPr>
      <w:ind w:left="720"/>
      <w:contextualSpacing/>
    </w:pPr>
  </w:style>
  <w:style w:type="character" w:customStyle="1" w:styleId="HeaderChar">
    <w:name w:val="Header Char"/>
    <w:basedOn w:val="DefaultParagraphFont"/>
    <w:link w:val="Header"/>
    <w:uiPriority w:val="99"/>
    <w:rsid w:val="00575625"/>
    <w:rPr>
      <w:sz w:val="24"/>
      <w:szCs w:val="24"/>
    </w:rPr>
  </w:style>
  <w:style w:type="character" w:styleId="CommentReference">
    <w:name w:val="annotation reference"/>
    <w:basedOn w:val="DefaultParagraphFont"/>
    <w:uiPriority w:val="99"/>
    <w:rsid w:val="003A33FF"/>
    <w:rPr>
      <w:sz w:val="16"/>
      <w:szCs w:val="16"/>
    </w:rPr>
  </w:style>
  <w:style w:type="paragraph" w:styleId="CommentText">
    <w:name w:val="annotation text"/>
    <w:basedOn w:val="Normal"/>
    <w:link w:val="CommentTextChar"/>
    <w:uiPriority w:val="99"/>
    <w:rsid w:val="003A33FF"/>
    <w:rPr>
      <w:sz w:val="20"/>
      <w:szCs w:val="20"/>
    </w:rPr>
  </w:style>
  <w:style w:type="character" w:customStyle="1" w:styleId="CommentTextChar">
    <w:name w:val="Comment Text Char"/>
    <w:basedOn w:val="DefaultParagraphFont"/>
    <w:link w:val="CommentText"/>
    <w:uiPriority w:val="99"/>
    <w:rsid w:val="003A33FF"/>
  </w:style>
  <w:style w:type="paragraph" w:styleId="CommentSubject">
    <w:name w:val="annotation subject"/>
    <w:basedOn w:val="CommentText"/>
    <w:next w:val="CommentText"/>
    <w:link w:val="CommentSubjectChar"/>
    <w:uiPriority w:val="99"/>
    <w:rsid w:val="003A33FF"/>
    <w:rPr>
      <w:b/>
      <w:bCs/>
    </w:rPr>
  </w:style>
  <w:style w:type="character" w:customStyle="1" w:styleId="CommentSubjectChar">
    <w:name w:val="Comment Subject Char"/>
    <w:basedOn w:val="CommentTextChar"/>
    <w:link w:val="CommentSubject"/>
    <w:uiPriority w:val="99"/>
    <w:rsid w:val="003A33FF"/>
    <w:rPr>
      <w:b/>
      <w:bCs/>
    </w:rPr>
  </w:style>
  <w:style w:type="table" w:customStyle="1" w:styleId="TableGrid1">
    <w:name w:val="Table Grid1"/>
    <w:basedOn w:val="TableNormal"/>
    <w:next w:val="TableGrid"/>
    <w:uiPriority w:val="59"/>
    <w:rsid w:val="00F816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rsid w:val="0017792A"/>
    <w:rPr>
      <w:sz w:val="24"/>
      <w:szCs w:val="24"/>
    </w:rPr>
  </w:style>
  <w:style w:type="character" w:customStyle="1" w:styleId="Heading9Char">
    <w:name w:val="Heading 9 Char"/>
    <w:basedOn w:val="DefaultParagraphFont"/>
    <w:link w:val="Heading9"/>
    <w:uiPriority w:val="9"/>
    <w:semiHidden/>
    <w:rsid w:val="00FF768E"/>
    <w:rPr>
      <w:rFonts w:asciiTheme="majorHAnsi" w:eastAsiaTheme="majorEastAsia" w:hAnsiTheme="majorHAnsi" w:cstheme="majorBidi"/>
      <w:i/>
      <w:iCs/>
      <w:spacing w:val="5"/>
    </w:rPr>
  </w:style>
  <w:style w:type="numbering" w:customStyle="1" w:styleId="NoList1">
    <w:name w:val="No List1"/>
    <w:next w:val="NoList"/>
    <w:uiPriority w:val="99"/>
    <w:semiHidden/>
    <w:unhideWhenUsed/>
    <w:rsid w:val="00FF768E"/>
  </w:style>
  <w:style w:type="character" w:customStyle="1" w:styleId="Heading1Char">
    <w:name w:val="Heading 1 Char"/>
    <w:basedOn w:val="DefaultParagraphFont"/>
    <w:link w:val="Heading1"/>
    <w:rsid w:val="001C63ED"/>
    <w:rPr>
      <w:rFonts w:asciiTheme="minorHAnsi" w:hAnsiTheme="minorHAnsi"/>
      <w:bCs/>
      <w:color w:val="1F497D" w:themeColor="text2"/>
      <w:sz w:val="40"/>
      <w:szCs w:val="24"/>
    </w:rPr>
  </w:style>
  <w:style w:type="character" w:customStyle="1" w:styleId="Heading2Char">
    <w:name w:val="Heading 2 Char"/>
    <w:basedOn w:val="DefaultParagraphFont"/>
    <w:link w:val="Heading2"/>
    <w:rsid w:val="001C63ED"/>
    <w:rPr>
      <w:rFonts w:asciiTheme="minorHAnsi" w:hAnsiTheme="minorHAnsi"/>
      <w:bCs/>
      <w:color w:val="17365D" w:themeColor="text2" w:themeShade="BF"/>
      <w:sz w:val="32"/>
      <w:szCs w:val="24"/>
    </w:rPr>
  </w:style>
  <w:style w:type="character" w:customStyle="1" w:styleId="Heading3Char">
    <w:name w:val="Heading 3 Char"/>
    <w:basedOn w:val="DefaultParagraphFont"/>
    <w:link w:val="Heading3"/>
    <w:uiPriority w:val="9"/>
    <w:rsid w:val="000B57E4"/>
    <w:rPr>
      <w:rFonts w:ascii="Arial" w:hAnsi="Arial"/>
      <w:b/>
      <w:bCs/>
      <w:color w:val="1F497D" w:themeColor="text2"/>
      <w:sz w:val="28"/>
      <w:szCs w:val="24"/>
    </w:rPr>
  </w:style>
  <w:style w:type="character" w:customStyle="1" w:styleId="Heading4Char">
    <w:name w:val="Heading 4 Char"/>
    <w:basedOn w:val="DefaultParagraphFont"/>
    <w:link w:val="Heading4"/>
    <w:uiPriority w:val="9"/>
    <w:rsid w:val="00825B83"/>
    <w:rPr>
      <w:rFonts w:asciiTheme="minorHAnsi" w:hAnsiTheme="minorHAnsi"/>
      <w:b/>
      <w:bCs/>
      <w:color w:val="1F497D" w:themeColor="text2"/>
      <w:sz w:val="24"/>
      <w:szCs w:val="24"/>
    </w:rPr>
  </w:style>
  <w:style w:type="character" w:customStyle="1" w:styleId="Heading5Char">
    <w:name w:val="Heading 5 Char"/>
    <w:basedOn w:val="DefaultParagraphFont"/>
    <w:link w:val="Heading5"/>
    <w:uiPriority w:val="9"/>
    <w:rsid w:val="00FF768E"/>
    <w:rPr>
      <w:b/>
      <w:bCs/>
      <w:sz w:val="24"/>
      <w:szCs w:val="24"/>
    </w:rPr>
  </w:style>
  <w:style w:type="character" w:customStyle="1" w:styleId="Heading6Char">
    <w:name w:val="Heading 6 Char"/>
    <w:basedOn w:val="DefaultParagraphFont"/>
    <w:link w:val="Heading6"/>
    <w:uiPriority w:val="9"/>
    <w:rsid w:val="001C63ED"/>
    <w:rPr>
      <w:rFonts w:asciiTheme="minorHAnsi" w:hAnsiTheme="minorHAnsi"/>
      <w:b/>
      <w:bCs/>
      <w:i/>
      <w:iCs/>
      <w:sz w:val="22"/>
      <w:szCs w:val="24"/>
    </w:rPr>
  </w:style>
  <w:style w:type="character" w:customStyle="1" w:styleId="Heading7Char">
    <w:name w:val="Heading 7 Char"/>
    <w:basedOn w:val="DefaultParagraphFont"/>
    <w:link w:val="Heading7"/>
    <w:uiPriority w:val="9"/>
    <w:rsid w:val="00FF768E"/>
    <w:rPr>
      <w:b/>
      <w:bCs/>
      <w:szCs w:val="24"/>
    </w:rPr>
  </w:style>
  <w:style w:type="character" w:customStyle="1" w:styleId="Heading8Char">
    <w:name w:val="Heading 8 Char"/>
    <w:basedOn w:val="DefaultParagraphFont"/>
    <w:link w:val="Heading8"/>
    <w:uiPriority w:val="9"/>
    <w:rsid w:val="00FF768E"/>
    <w:rPr>
      <w:b/>
      <w:bCs/>
      <w:sz w:val="24"/>
      <w:szCs w:val="24"/>
    </w:rPr>
  </w:style>
  <w:style w:type="character" w:customStyle="1" w:styleId="TitleChar">
    <w:name w:val="Title Char"/>
    <w:basedOn w:val="DefaultParagraphFont"/>
    <w:link w:val="Title"/>
    <w:uiPriority w:val="10"/>
    <w:rsid w:val="00FF768E"/>
    <w:rPr>
      <w:b/>
      <w:bCs/>
      <w:sz w:val="24"/>
      <w:szCs w:val="24"/>
    </w:rPr>
  </w:style>
  <w:style w:type="paragraph" w:styleId="Subtitle">
    <w:name w:val="Subtitle"/>
    <w:basedOn w:val="Normal"/>
    <w:next w:val="Normal"/>
    <w:link w:val="SubtitleChar"/>
    <w:uiPriority w:val="11"/>
    <w:qFormat/>
    <w:rsid w:val="00FF768E"/>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FF768E"/>
    <w:rPr>
      <w:rFonts w:asciiTheme="majorHAnsi" w:eastAsiaTheme="majorEastAsia" w:hAnsiTheme="majorHAnsi" w:cstheme="majorBidi"/>
      <w:i/>
      <w:iCs/>
      <w:spacing w:val="13"/>
      <w:sz w:val="24"/>
      <w:szCs w:val="24"/>
    </w:rPr>
  </w:style>
  <w:style w:type="character" w:styleId="Strong">
    <w:name w:val="Strong"/>
    <w:uiPriority w:val="22"/>
    <w:qFormat/>
    <w:rsid w:val="00FF768E"/>
    <w:rPr>
      <w:b/>
      <w:bCs/>
    </w:rPr>
  </w:style>
  <w:style w:type="character" w:styleId="Emphasis">
    <w:name w:val="Emphasis"/>
    <w:uiPriority w:val="20"/>
    <w:qFormat/>
    <w:rsid w:val="00FF768E"/>
    <w:rPr>
      <w:b/>
      <w:bCs/>
      <w:i/>
      <w:iCs/>
      <w:spacing w:val="10"/>
      <w:bdr w:val="none" w:sz="0" w:space="0" w:color="auto"/>
      <w:shd w:val="clear" w:color="auto" w:fill="auto"/>
    </w:rPr>
  </w:style>
  <w:style w:type="paragraph" w:styleId="NoSpacing">
    <w:name w:val="No Spacing"/>
    <w:basedOn w:val="Normal"/>
    <w:uiPriority w:val="1"/>
    <w:qFormat/>
    <w:rsid w:val="00FF768E"/>
    <w:rPr>
      <w:rFonts w:eastAsiaTheme="minorEastAsia" w:cstheme="minorBidi"/>
      <w:szCs w:val="22"/>
    </w:rPr>
  </w:style>
  <w:style w:type="paragraph" w:styleId="Quote">
    <w:name w:val="Quote"/>
    <w:basedOn w:val="Normal"/>
    <w:next w:val="Normal"/>
    <w:link w:val="QuoteChar"/>
    <w:uiPriority w:val="29"/>
    <w:qFormat/>
    <w:rsid w:val="00FF768E"/>
    <w:pPr>
      <w:spacing w:before="200" w:line="276" w:lineRule="auto"/>
      <w:ind w:left="360" w:right="360"/>
    </w:pPr>
    <w:rPr>
      <w:rFonts w:eastAsiaTheme="minorEastAsia" w:cstheme="minorBidi"/>
      <w:i/>
      <w:iCs/>
      <w:szCs w:val="22"/>
    </w:rPr>
  </w:style>
  <w:style w:type="character" w:customStyle="1" w:styleId="QuoteChar">
    <w:name w:val="Quote Char"/>
    <w:basedOn w:val="DefaultParagraphFont"/>
    <w:link w:val="Quote"/>
    <w:uiPriority w:val="29"/>
    <w:rsid w:val="00FF768E"/>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FF768E"/>
    <w:pPr>
      <w:pBdr>
        <w:bottom w:val="single" w:sz="4" w:space="1" w:color="auto"/>
      </w:pBdr>
      <w:spacing w:before="200" w:after="280" w:line="276" w:lineRule="auto"/>
      <w:ind w:left="1008" w:right="1152"/>
    </w:pPr>
    <w:rPr>
      <w:rFonts w:eastAsiaTheme="minorEastAsia" w:cstheme="minorBidi"/>
      <w:b/>
      <w:bCs/>
      <w:i/>
      <w:iCs/>
      <w:szCs w:val="22"/>
    </w:rPr>
  </w:style>
  <w:style w:type="character" w:customStyle="1" w:styleId="IntenseQuoteChar">
    <w:name w:val="Intense Quote Char"/>
    <w:basedOn w:val="DefaultParagraphFont"/>
    <w:link w:val="IntenseQuote"/>
    <w:uiPriority w:val="30"/>
    <w:rsid w:val="00FF768E"/>
    <w:rPr>
      <w:rFonts w:asciiTheme="minorHAnsi" w:eastAsiaTheme="minorEastAsia" w:hAnsiTheme="minorHAnsi" w:cstheme="minorBidi"/>
      <w:b/>
      <w:bCs/>
      <w:i/>
      <w:iCs/>
      <w:sz w:val="22"/>
      <w:szCs w:val="22"/>
    </w:rPr>
  </w:style>
  <w:style w:type="character" w:styleId="SubtleEmphasis">
    <w:name w:val="Subtle Emphasis"/>
    <w:uiPriority w:val="19"/>
    <w:qFormat/>
    <w:rsid w:val="00FF768E"/>
    <w:rPr>
      <w:i/>
      <w:iCs/>
    </w:rPr>
  </w:style>
  <w:style w:type="character" w:styleId="IntenseEmphasis">
    <w:name w:val="Intense Emphasis"/>
    <w:uiPriority w:val="21"/>
    <w:qFormat/>
    <w:rsid w:val="00FF768E"/>
    <w:rPr>
      <w:b/>
      <w:bCs/>
    </w:rPr>
  </w:style>
  <w:style w:type="character" w:styleId="SubtleReference">
    <w:name w:val="Subtle Reference"/>
    <w:uiPriority w:val="31"/>
    <w:qFormat/>
    <w:rsid w:val="00FF768E"/>
    <w:rPr>
      <w:smallCaps/>
    </w:rPr>
  </w:style>
  <w:style w:type="character" w:styleId="IntenseReference">
    <w:name w:val="Intense Reference"/>
    <w:uiPriority w:val="32"/>
    <w:qFormat/>
    <w:rsid w:val="00FF768E"/>
    <w:rPr>
      <w:smallCaps/>
      <w:spacing w:val="5"/>
      <w:u w:val="single"/>
    </w:rPr>
  </w:style>
  <w:style w:type="character" w:styleId="BookTitle">
    <w:name w:val="Book Title"/>
    <w:uiPriority w:val="33"/>
    <w:qFormat/>
    <w:rsid w:val="00FF768E"/>
    <w:rPr>
      <w:i/>
      <w:iCs/>
      <w:smallCaps/>
      <w:spacing w:val="5"/>
    </w:rPr>
  </w:style>
  <w:style w:type="paragraph" w:styleId="TOCHeading">
    <w:name w:val="TOC Heading"/>
    <w:basedOn w:val="Heading1"/>
    <w:next w:val="Normal"/>
    <w:uiPriority w:val="39"/>
    <w:unhideWhenUsed/>
    <w:qFormat/>
    <w:rsid w:val="00FF768E"/>
    <w:pPr>
      <w:keepNext w:val="0"/>
      <w:spacing w:before="480" w:line="276" w:lineRule="auto"/>
      <w:contextualSpacing/>
      <w:outlineLvl w:val="9"/>
    </w:pPr>
    <w:rPr>
      <w:rFonts w:asciiTheme="majorHAnsi" w:eastAsiaTheme="majorEastAsia" w:hAnsiTheme="majorHAnsi" w:cstheme="majorBidi"/>
      <w:sz w:val="28"/>
      <w:szCs w:val="28"/>
    </w:r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 w:type="character" w:customStyle="1" w:styleId="BodyTextChar">
    <w:name w:val="Body Text Char"/>
    <w:basedOn w:val="DefaultParagraphFont"/>
    <w:link w:val="BodyText"/>
    <w:rsid w:val="00FF768E"/>
    <w:rPr>
      <w:szCs w:val="24"/>
    </w:rPr>
  </w:style>
  <w:style w:type="character" w:customStyle="1" w:styleId="BodyText2Char">
    <w:name w:val="Body Text 2 Char"/>
    <w:basedOn w:val="DefaultParagraphFont"/>
    <w:link w:val="BodyText2"/>
    <w:rsid w:val="00FF768E"/>
    <w:rPr>
      <w:sz w:val="22"/>
      <w:szCs w:val="24"/>
    </w:rPr>
  </w:style>
  <w:style w:type="table" w:customStyle="1" w:styleId="TableGrid3">
    <w:name w:val="Table Grid3"/>
    <w:basedOn w:val="TableNormal"/>
    <w:next w:val="TableGrid"/>
    <w:uiPriority w:val="59"/>
    <w:rsid w:val="00FF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76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rsid w:val="00FF768E"/>
    <w:rPr>
      <w:lang w:eastAsia="en-US"/>
    </w:rPr>
  </w:style>
  <w:style w:type="character" w:customStyle="1" w:styleId="BodyText3Char">
    <w:name w:val="Body Text 3 Char"/>
    <w:basedOn w:val="DefaultParagraphFont"/>
    <w:link w:val="BodyText3"/>
    <w:uiPriority w:val="99"/>
    <w:rsid w:val="00FF768E"/>
    <w:rPr>
      <w:sz w:val="22"/>
      <w:szCs w:val="24"/>
    </w:rPr>
  </w:style>
  <w:style w:type="paragraph" w:customStyle="1" w:styleId="ParagraphNumbering">
    <w:name w:val="Paragraph Numbering"/>
    <w:basedOn w:val="Normal"/>
    <w:link w:val="ParagraphNumberingChar"/>
    <w:uiPriority w:val="1"/>
    <w:qFormat/>
    <w:rsid w:val="00FF768E"/>
    <w:pPr>
      <w:numPr>
        <w:numId w:val="2"/>
      </w:numPr>
      <w:spacing w:after="240" w:line="264" w:lineRule="auto"/>
    </w:pPr>
    <w:rPr>
      <w:rFonts w:eastAsiaTheme="minorHAnsi"/>
    </w:rPr>
  </w:style>
  <w:style w:type="paragraph" w:styleId="ListBullet">
    <w:name w:val="List Bullet"/>
    <w:basedOn w:val="Normal"/>
    <w:uiPriority w:val="2"/>
    <w:qFormat/>
    <w:rsid w:val="006B44F4"/>
    <w:pPr>
      <w:spacing w:after="120"/>
    </w:pPr>
    <w:rPr>
      <w:rFonts w:eastAsiaTheme="minorHAnsi"/>
    </w:rPr>
  </w:style>
  <w:style w:type="paragraph" w:customStyle="1" w:styleId="Blockquote">
    <w:name w:val="Blockquote"/>
    <w:basedOn w:val="Normal"/>
    <w:rsid w:val="00FF768E"/>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FF768E"/>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768E"/>
    <w:rPr>
      <w:rFonts w:asciiTheme="minorHAnsi" w:eastAsia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768E"/>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F768E"/>
    <w:rPr>
      <w:rFonts w:ascii="Calibri" w:eastAsiaTheme="minorHAnsi" w:hAnsi="Calibri" w:cstheme="minorBidi"/>
      <w:sz w:val="22"/>
      <w:szCs w:val="21"/>
    </w:rPr>
  </w:style>
  <w:style w:type="paragraph" w:styleId="TOC1">
    <w:name w:val="toc 1"/>
    <w:basedOn w:val="Normal"/>
    <w:next w:val="Normal"/>
    <w:autoRedefine/>
    <w:uiPriority w:val="39"/>
    <w:unhideWhenUsed/>
    <w:rsid w:val="00F317A7"/>
    <w:pPr>
      <w:tabs>
        <w:tab w:val="right" w:leader="dot" w:pos="9710"/>
      </w:tabs>
      <w:spacing w:after="100"/>
    </w:pPr>
    <w:rPr>
      <w:b/>
      <w:noProof/>
    </w:rPr>
  </w:style>
  <w:style w:type="paragraph" w:styleId="TOC2">
    <w:name w:val="toc 2"/>
    <w:basedOn w:val="Normal"/>
    <w:next w:val="Normal"/>
    <w:autoRedefine/>
    <w:uiPriority w:val="39"/>
    <w:unhideWhenUsed/>
    <w:rsid w:val="0053783E"/>
    <w:pPr>
      <w:spacing w:after="100"/>
      <w:ind w:left="240"/>
    </w:pPr>
  </w:style>
  <w:style w:type="paragraph" w:styleId="TOC3">
    <w:name w:val="toc 3"/>
    <w:basedOn w:val="Normal"/>
    <w:next w:val="Normal"/>
    <w:autoRedefine/>
    <w:uiPriority w:val="39"/>
    <w:unhideWhenUsed/>
    <w:rsid w:val="001C5D9D"/>
    <w:pPr>
      <w:tabs>
        <w:tab w:val="right" w:leader="dot" w:pos="10160"/>
      </w:tabs>
      <w:spacing w:after="100"/>
      <w:ind w:left="480"/>
      <w:jc w:val="center"/>
    </w:pPr>
  </w:style>
  <w:style w:type="character" w:styleId="FollowedHyperlink">
    <w:name w:val="FollowedHyperlink"/>
    <w:basedOn w:val="DefaultParagraphFont"/>
    <w:semiHidden/>
    <w:unhideWhenUsed/>
    <w:rsid w:val="00821932"/>
    <w:rPr>
      <w:color w:val="800080" w:themeColor="followedHyperlink"/>
      <w:u w:val="single"/>
    </w:rPr>
  </w:style>
  <w:style w:type="table" w:customStyle="1" w:styleId="table-style-blauw-100-outline">
    <w:name w:val="table-style-blauw-100-outline"/>
    <w:basedOn w:val="TableNormal"/>
    <w:rsid w:val="007824B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0276C"/>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D2BDA"/>
    <w:rPr>
      <w:rFonts w:asciiTheme="minorHAnsi" w:hAnsiTheme="minorHAnsi"/>
      <w:sz w:val="22"/>
      <w:szCs w:val="24"/>
    </w:rPr>
  </w:style>
  <w:style w:type="paragraph" w:styleId="DocumentMap">
    <w:name w:val="Document Map"/>
    <w:basedOn w:val="Normal"/>
    <w:link w:val="DocumentMapChar"/>
    <w:semiHidden/>
    <w:unhideWhenUsed/>
    <w:rsid w:val="004E63A5"/>
    <w:rPr>
      <w:rFonts w:ascii="Times New Roman" w:hAnsi="Times New Roman"/>
      <w:sz w:val="24"/>
    </w:rPr>
  </w:style>
  <w:style w:type="character" w:customStyle="1" w:styleId="DocumentMapChar">
    <w:name w:val="Document Map Char"/>
    <w:basedOn w:val="DefaultParagraphFont"/>
    <w:link w:val="DocumentMap"/>
    <w:semiHidden/>
    <w:rsid w:val="004E63A5"/>
    <w:rPr>
      <w:sz w:val="24"/>
      <w:szCs w:val="24"/>
    </w:rPr>
  </w:style>
  <w:style w:type="paragraph" w:customStyle="1" w:styleId="PEFAfigurecaption">
    <w:name w:val="PEFA figure caption"/>
    <w:basedOn w:val="Normal"/>
    <w:qFormat/>
    <w:rsid w:val="00A00CA0"/>
    <w:rPr>
      <w:b/>
    </w:rPr>
  </w:style>
  <w:style w:type="paragraph" w:styleId="EndnoteText">
    <w:name w:val="endnote text"/>
    <w:basedOn w:val="Normal"/>
    <w:link w:val="EndnoteTextChar"/>
    <w:uiPriority w:val="99"/>
    <w:unhideWhenUsed/>
    <w:rsid w:val="006750A4"/>
    <w:pPr>
      <w:jc w:val="left"/>
    </w:pPr>
    <w:rPr>
      <w:rFonts w:eastAsiaTheme="minorHAnsi" w:cstheme="minorBidi"/>
      <w:sz w:val="20"/>
      <w:szCs w:val="20"/>
    </w:rPr>
  </w:style>
  <w:style w:type="character" w:customStyle="1" w:styleId="EndnoteTextChar">
    <w:name w:val="Endnote Text Char"/>
    <w:basedOn w:val="DefaultParagraphFont"/>
    <w:link w:val="EndnoteText"/>
    <w:uiPriority w:val="99"/>
    <w:rsid w:val="006750A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750A4"/>
    <w:rPr>
      <w:vertAlign w:val="superscript"/>
    </w:rPr>
  </w:style>
  <w:style w:type="table" w:customStyle="1" w:styleId="TableGrid4">
    <w:name w:val="Table Grid4"/>
    <w:basedOn w:val="TableNormal"/>
    <w:next w:val="TableGrid"/>
    <w:uiPriority w:val="59"/>
    <w:rsid w:val="002D2A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0D00"/>
  </w:style>
  <w:style w:type="paragraph" w:customStyle="1" w:styleId="Brdtext-hllihop">
    <w:name w:val="Brödtext - håll ihop"/>
    <w:basedOn w:val="BodyText"/>
    <w:next w:val="BodyText"/>
    <w:link w:val="Brdtext-hllihopChar"/>
    <w:rsid w:val="00D20D0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20D00"/>
    <w:rPr>
      <w:rFonts w:ascii="Garamond" w:hAnsi="Garamond"/>
      <w:spacing w:val="-5"/>
      <w:sz w:val="24"/>
      <w:lang w:val="en-GB"/>
    </w:rPr>
  </w:style>
  <w:style w:type="character" w:customStyle="1" w:styleId="BalloonTextChar1">
    <w:name w:val="Balloon Text Char1"/>
    <w:basedOn w:val="DefaultParagraphFont"/>
    <w:uiPriority w:val="99"/>
    <w:semiHidden/>
    <w:rsid w:val="00D20D00"/>
    <w:rPr>
      <w:rFonts w:ascii="Tahoma" w:hAnsi="Tahoma" w:cs="Tahoma"/>
      <w:sz w:val="16"/>
      <w:szCs w:val="16"/>
    </w:rPr>
  </w:style>
  <w:style w:type="character" w:styleId="PlaceholderText">
    <w:name w:val="Placeholder Text"/>
    <w:basedOn w:val="DefaultParagraphFont"/>
    <w:uiPriority w:val="99"/>
    <w:unhideWhenUsed/>
    <w:rsid w:val="00D20D00"/>
    <w:rPr>
      <w:color w:val="808080"/>
    </w:rPr>
  </w:style>
  <w:style w:type="table" w:customStyle="1" w:styleId="TabelEcorys2">
    <w:name w:val="TabelEcorys2"/>
    <w:basedOn w:val="TableNormal"/>
    <w:next w:val="TableGrid"/>
    <w:rsid w:val="00B3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47E43"/>
    <w:rPr>
      <w:rFonts w:asciiTheme="minorHAnsi" w:hAnsiTheme="minorHAnsi"/>
      <w:sz w:val="22"/>
      <w:szCs w:val="24"/>
    </w:rPr>
  </w:style>
  <w:style w:type="paragraph" w:styleId="TOC4">
    <w:name w:val="toc 4"/>
    <w:basedOn w:val="Normal"/>
    <w:next w:val="Normal"/>
    <w:autoRedefine/>
    <w:uiPriority w:val="39"/>
    <w:unhideWhenUsed/>
    <w:rsid w:val="00964ACB"/>
    <w:pPr>
      <w:spacing w:after="100" w:line="259" w:lineRule="auto"/>
      <w:ind w:left="660"/>
      <w:jc w:val="left"/>
    </w:pPr>
    <w:rPr>
      <w:rFonts w:eastAsiaTheme="minorEastAsia" w:cstheme="minorBidi"/>
      <w:szCs w:val="22"/>
    </w:rPr>
  </w:style>
  <w:style w:type="paragraph" w:styleId="TOC5">
    <w:name w:val="toc 5"/>
    <w:basedOn w:val="Normal"/>
    <w:next w:val="Normal"/>
    <w:autoRedefine/>
    <w:uiPriority w:val="39"/>
    <w:unhideWhenUsed/>
    <w:rsid w:val="00964ACB"/>
    <w:pPr>
      <w:spacing w:after="100" w:line="259" w:lineRule="auto"/>
      <w:ind w:left="880"/>
      <w:jc w:val="left"/>
    </w:pPr>
    <w:rPr>
      <w:rFonts w:eastAsiaTheme="minorEastAsia" w:cstheme="minorBidi"/>
      <w:szCs w:val="22"/>
    </w:rPr>
  </w:style>
  <w:style w:type="paragraph" w:styleId="TOC6">
    <w:name w:val="toc 6"/>
    <w:basedOn w:val="Normal"/>
    <w:next w:val="Normal"/>
    <w:autoRedefine/>
    <w:uiPriority w:val="39"/>
    <w:unhideWhenUsed/>
    <w:rsid w:val="00964ACB"/>
    <w:pPr>
      <w:spacing w:after="100" w:line="259" w:lineRule="auto"/>
      <w:ind w:left="1100"/>
      <w:jc w:val="left"/>
    </w:pPr>
    <w:rPr>
      <w:rFonts w:eastAsiaTheme="minorEastAsia" w:cstheme="minorBidi"/>
      <w:szCs w:val="22"/>
    </w:rPr>
  </w:style>
  <w:style w:type="paragraph" w:styleId="TOC7">
    <w:name w:val="toc 7"/>
    <w:basedOn w:val="Normal"/>
    <w:next w:val="Normal"/>
    <w:autoRedefine/>
    <w:uiPriority w:val="39"/>
    <w:unhideWhenUsed/>
    <w:rsid w:val="00964ACB"/>
    <w:pPr>
      <w:spacing w:after="100" w:line="259" w:lineRule="auto"/>
      <w:ind w:left="1320"/>
      <w:jc w:val="left"/>
    </w:pPr>
    <w:rPr>
      <w:rFonts w:eastAsiaTheme="minorEastAsia" w:cstheme="minorBidi"/>
      <w:szCs w:val="22"/>
    </w:rPr>
  </w:style>
  <w:style w:type="paragraph" w:styleId="TOC8">
    <w:name w:val="toc 8"/>
    <w:basedOn w:val="Normal"/>
    <w:next w:val="Normal"/>
    <w:autoRedefine/>
    <w:uiPriority w:val="39"/>
    <w:unhideWhenUsed/>
    <w:rsid w:val="00964ACB"/>
    <w:pPr>
      <w:spacing w:after="100" w:line="259" w:lineRule="auto"/>
      <w:ind w:left="1540"/>
      <w:jc w:val="left"/>
    </w:pPr>
    <w:rPr>
      <w:rFonts w:eastAsiaTheme="minorEastAsia" w:cstheme="minorBidi"/>
      <w:szCs w:val="22"/>
    </w:rPr>
  </w:style>
  <w:style w:type="paragraph" w:styleId="TOC9">
    <w:name w:val="toc 9"/>
    <w:basedOn w:val="Normal"/>
    <w:next w:val="Normal"/>
    <w:autoRedefine/>
    <w:uiPriority w:val="39"/>
    <w:unhideWhenUsed/>
    <w:rsid w:val="00964ACB"/>
    <w:pPr>
      <w:spacing w:after="100" w:line="259" w:lineRule="auto"/>
      <w:ind w:left="1760"/>
      <w:jc w:val="left"/>
    </w:pPr>
    <w:rPr>
      <w:rFonts w:eastAsiaTheme="minorEastAsia" w:cstheme="minorBidi"/>
      <w:szCs w:val="22"/>
    </w:rPr>
  </w:style>
  <w:style w:type="numbering" w:customStyle="1" w:styleId="NoList3">
    <w:name w:val="No List3"/>
    <w:next w:val="NoList"/>
    <w:uiPriority w:val="99"/>
    <w:semiHidden/>
    <w:unhideWhenUsed/>
    <w:rsid w:val="00FF0149"/>
  </w:style>
  <w:style w:type="character" w:customStyle="1" w:styleId="ParagraphNumberingChar">
    <w:name w:val="Paragraph Numbering Char"/>
    <w:basedOn w:val="DefaultParagraphFont"/>
    <w:link w:val="ParagraphNumbering"/>
    <w:uiPriority w:val="1"/>
    <w:rsid w:val="00FF0149"/>
    <w:rPr>
      <w:rFonts w:asciiTheme="minorHAnsi" w:eastAsia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179">
      <w:bodyDiv w:val="1"/>
      <w:marLeft w:val="0"/>
      <w:marRight w:val="0"/>
      <w:marTop w:val="0"/>
      <w:marBottom w:val="0"/>
      <w:divBdr>
        <w:top w:val="none" w:sz="0" w:space="0" w:color="auto"/>
        <w:left w:val="none" w:sz="0" w:space="0" w:color="auto"/>
        <w:bottom w:val="none" w:sz="0" w:space="0" w:color="auto"/>
        <w:right w:val="none" w:sz="0" w:space="0" w:color="auto"/>
      </w:divBdr>
    </w:div>
    <w:div w:id="119497580">
      <w:bodyDiv w:val="1"/>
      <w:marLeft w:val="0"/>
      <w:marRight w:val="0"/>
      <w:marTop w:val="0"/>
      <w:marBottom w:val="0"/>
      <w:divBdr>
        <w:top w:val="none" w:sz="0" w:space="0" w:color="auto"/>
        <w:left w:val="none" w:sz="0" w:space="0" w:color="auto"/>
        <w:bottom w:val="none" w:sz="0" w:space="0" w:color="auto"/>
        <w:right w:val="none" w:sz="0" w:space="0" w:color="auto"/>
      </w:divBdr>
    </w:div>
    <w:div w:id="128088985">
      <w:bodyDiv w:val="1"/>
      <w:marLeft w:val="0"/>
      <w:marRight w:val="0"/>
      <w:marTop w:val="0"/>
      <w:marBottom w:val="0"/>
      <w:divBdr>
        <w:top w:val="none" w:sz="0" w:space="0" w:color="auto"/>
        <w:left w:val="none" w:sz="0" w:space="0" w:color="auto"/>
        <w:bottom w:val="none" w:sz="0" w:space="0" w:color="auto"/>
        <w:right w:val="none" w:sz="0" w:space="0" w:color="auto"/>
      </w:divBdr>
    </w:div>
    <w:div w:id="138961203">
      <w:bodyDiv w:val="1"/>
      <w:marLeft w:val="0"/>
      <w:marRight w:val="0"/>
      <w:marTop w:val="0"/>
      <w:marBottom w:val="0"/>
      <w:divBdr>
        <w:top w:val="none" w:sz="0" w:space="0" w:color="auto"/>
        <w:left w:val="none" w:sz="0" w:space="0" w:color="auto"/>
        <w:bottom w:val="none" w:sz="0" w:space="0" w:color="auto"/>
        <w:right w:val="none" w:sz="0" w:space="0" w:color="auto"/>
      </w:divBdr>
    </w:div>
    <w:div w:id="179204527">
      <w:bodyDiv w:val="1"/>
      <w:marLeft w:val="0"/>
      <w:marRight w:val="0"/>
      <w:marTop w:val="0"/>
      <w:marBottom w:val="0"/>
      <w:divBdr>
        <w:top w:val="none" w:sz="0" w:space="0" w:color="auto"/>
        <w:left w:val="none" w:sz="0" w:space="0" w:color="auto"/>
        <w:bottom w:val="none" w:sz="0" w:space="0" w:color="auto"/>
        <w:right w:val="none" w:sz="0" w:space="0" w:color="auto"/>
      </w:divBdr>
    </w:div>
    <w:div w:id="231550772">
      <w:bodyDiv w:val="1"/>
      <w:marLeft w:val="0"/>
      <w:marRight w:val="0"/>
      <w:marTop w:val="0"/>
      <w:marBottom w:val="0"/>
      <w:divBdr>
        <w:top w:val="none" w:sz="0" w:space="0" w:color="auto"/>
        <w:left w:val="none" w:sz="0" w:space="0" w:color="auto"/>
        <w:bottom w:val="none" w:sz="0" w:space="0" w:color="auto"/>
        <w:right w:val="none" w:sz="0" w:space="0" w:color="auto"/>
      </w:divBdr>
    </w:div>
    <w:div w:id="256670877">
      <w:bodyDiv w:val="1"/>
      <w:marLeft w:val="0"/>
      <w:marRight w:val="0"/>
      <w:marTop w:val="0"/>
      <w:marBottom w:val="0"/>
      <w:divBdr>
        <w:top w:val="none" w:sz="0" w:space="0" w:color="auto"/>
        <w:left w:val="none" w:sz="0" w:space="0" w:color="auto"/>
        <w:bottom w:val="none" w:sz="0" w:space="0" w:color="auto"/>
        <w:right w:val="none" w:sz="0" w:space="0" w:color="auto"/>
      </w:divBdr>
    </w:div>
    <w:div w:id="257712122">
      <w:bodyDiv w:val="1"/>
      <w:marLeft w:val="0"/>
      <w:marRight w:val="0"/>
      <w:marTop w:val="0"/>
      <w:marBottom w:val="0"/>
      <w:divBdr>
        <w:top w:val="none" w:sz="0" w:space="0" w:color="auto"/>
        <w:left w:val="none" w:sz="0" w:space="0" w:color="auto"/>
        <w:bottom w:val="none" w:sz="0" w:space="0" w:color="auto"/>
        <w:right w:val="none" w:sz="0" w:space="0" w:color="auto"/>
      </w:divBdr>
    </w:div>
    <w:div w:id="258610416">
      <w:bodyDiv w:val="1"/>
      <w:marLeft w:val="0"/>
      <w:marRight w:val="0"/>
      <w:marTop w:val="0"/>
      <w:marBottom w:val="0"/>
      <w:divBdr>
        <w:top w:val="none" w:sz="0" w:space="0" w:color="auto"/>
        <w:left w:val="none" w:sz="0" w:space="0" w:color="auto"/>
        <w:bottom w:val="none" w:sz="0" w:space="0" w:color="auto"/>
        <w:right w:val="none" w:sz="0" w:space="0" w:color="auto"/>
      </w:divBdr>
    </w:div>
    <w:div w:id="276179160">
      <w:bodyDiv w:val="1"/>
      <w:marLeft w:val="0"/>
      <w:marRight w:val="0"/>
      <w:marTop w:val="0"/>
      <w:marBottom w:val="0"/>
      <w:divBdr>
        <w:top w:val="none" w:sz="0" w:space="0" w:color="auto"/>
        <w:left w:val="none" w:sz="0" w:space="0" w:color="auto"/>
        <w:bottom w:val="none" w:sz="0" w:space="0" w:color="auto"/>
        <w:right w:val="none" w:sz="0" w:space="0" w:color="auto"/>
      </w:divBdr>
    </w:div>
    <w:div w:id="305741341">
      <w:bodyDiv w:val="1"/>
      <w:marLeft w:val="0"/>
      <w:marRight w:val="0"/>
      <w:marTop w:val="0"/>
      <w:marBottom w:val="0"/>
      <w:divBdr>
        <w:top w:val="none" w:sz="0" w:space="0" w:color="auto"/>
        <w:left w:val="none" w:sz="0" w:space="0" w:color="auto"/>
        <w:bottom w:val="none" w:sz="0" w:space="0" w:color="auto"/>
        <w:right w:val="none" w:sz="0" w:space="0" w:color="auto"/>
      </w:divBdr>
    </w:div>
    <w:div w:id="309332342">
      <w:bodyDiv w:val="1"/>
      <w:marLeft w:val="0"/>
      <w:marRight w:val="0"/>
      <w:marTop w:val="0"/>
      <w:marBottom w:val="0"/>
      <w:divBdr>
        <w:top w:val="none" w:sz="0" w:space="0" w:color="auto"/>
        <w:left w:val="none" w:sz="0" w:space="0" w:color="auto"/>
        <w:bottom w:val="none" w:sz="0" w:space="0" w:color="auto"/>
        <w:right w:val="none" w:sz="0" w:space="0" w:color="auto"/>
      </w:divBdr>
    </w:div>
    <w:div w:id="311175549">
      <w:bodyDiv w:val="1"/>
      <w:marLeft w:val="0"/>
      <w:marRight w:val="0"/>
      <w:marTop w:val="0"/>
      <w:marBottom w:val="0"/>
      <w:divBdr>
        <w:top w:val="none" w:sz="0" w:space="0" w:color="auto"/>
        <w:left w:val="none" w:sz="0" w:space="0" w:color="auto"/>
        <w:bottom w:val="none" w:sz="0" w:space="0" w:color="auto"/>
        <w:right w:val="none" w:sz="0" w:space="0" w:color="auto"/>
      </w:divBdr>
    </w:div>
    <w:div w:id="318464984">
      <w:bodyDiv w:val="1"/>
      <w:marLeft w:val="0"/>
      <w:marRight w:val="0"/>
      <w:marTop w:val="0"/>
      <w:marBottom w:val="0"/>
      <w:divBdr>
        <w:top w:val="none" w:sz="0" w:space="0" w:color="auto"/>
        <w:left w:val="none" w:sz="0" w:space="0" w:color="auto"/>
        <w:bottom w:val="none" w:sz="0" w:space="0" w:color="auto"/>
        <w:right w:val="none" w:sz="0" w:space="0" w:color="auto"/>
      </w:divBdr>
    </w:div>
    <w:div w:id="329985370">
      <w:bodyDiv w:val="1"/>
      <w:marLeft w:val="0"/>
      <w:marRight w:val="0"/>
      <w:marTop w:val="0"/>
      <w:marBottom w:val="0"/>
      <w:divBdr>
        <w:top w:val="none" w:sz="0" w:space="0" w:color="auto"/>
        <w:left w:val="none" w:sz="0" w:space="0" w:color="auto"/>
        <w:bottom w:val="none" w:sz="0" w:space="0" w:color="auto"/>
        <w:right w:val="none" w:sz="0" w:space="0" w:color="auto"/>
      </w:divBdr>
    </w:div>
    <w:div w:id="372508267">
      <w:bodyDiv w:val="1"/>
      <w:marLeft w:val="0"/>
      <w:marRight w:val="0"/>
      <w:marTop w:val="0"/>
      <w:marBottom w:val="0"/>
      <w:divBdr>
        <w:top w:val="none" w:sz="0" w:space="0" w:color="auto"/>
        <w:left w:val="none" w:sz="0" w:space="0" w:color="auto"/>
        <w:bottom w:val="none" w:sz="0" w:space="0" w:color="auto"/>
        <w:right w:val="none" w:sz="0" w:space="0" w:color="auto"/>
      </w:divBdr>
    </w:div>
    <w:div w:id="379011965">
      <w:bodyDiv w:val="1"/>
      <w:marLeft w:val="0"/>
      <w:marRight w:val="0"/>
      <w:marTop w:val="0"/>
      <w:marBottom w:val="0"/>
      <w:divBdr>
        <w:top w:val="none" w:sz="0" w:space="0" w:color="auto"/>
        <w:left w:val="none" w:sz="0" w:space="0" w:color="auto"/>
        <w:bottom w:val="none" w:sz="0" w:space="0" w:color="auto"/>
        <w:right w:val="none" w:sz="0" w:space="0" w:color="auto"/>
      </w:divBdr>
    </w:div>
    <w:div w:id="410661340">
      <w:bodyDiv w:val="1"/>
      <w:marLeft w:val="0"/>
      <w:marRight w:val="0"/>
      <w:marTop w:val="0"/>
      <w:marBottom w:val="0"/>
      <w:divBdr>
        <w:top w:val="none" w:sz="0" w:space="0" w:color="auto"/>
        <w:left w:val="none" w:sz="0" w:space="0" w:color="auto"/>
        <w:bottom w:val="none" w:sz="0" w:space="0" w:color="auto"/>
        <w:right w:val="none" w:sz="0" w:space="0" w:color="auto"/>
      </w:divBdr>
    </w:div>
    <w:div w:id="411388736">
      <w:bodyDiv w:val="1"/>
      <w:marLeft w:val="0"/>
      <w:marRight w:val="0"/>
      <w:marTop w:val="0"/>
      <w:marBottom w:val="0"/>
      <w:divBdr>
        <w:top w:val="none" w:sz="0" w:space="0" w:color="auto"/>
        <w:left w:val="none" w:sz="0" w:space="0" w:color="auto"/>
        <w:bottom w:val="none" w:sz="0" w:space="0" w:color="auto"/>
        <w:right w:val="none" w:sz="0" w:space="0" w:color="auto"/>
      </w:divBdr>
    </w:div>
    <w:div w:id="417406183">
      <w:bodyDiv w:val="1"/>
      <w:marLeft w:val="0"/>
      <w:marRight w:val="0"/>
      <w:marTop w:val="0"/>
      <w:marBottom w:val="0"/>
      <w:divBdr>
        <w:top w:val="none" w:sz="0" w:space="0" w:color="auto"/>
        <w:left w:val="none" w:sz="0" w:space="0" w:color="auto"/>
        <w:bottom w:val="none" w:sz="0" w:space="0" w:color="auto"/>
        <w:right w:val="none" w:sz="0" w:space="0" w:color="auto"/>
      </w:divBdr>
    </w:div>
    <w:div w:id="424545620">
      <w:bodyDiv w:val="1"/>
      <w:marLeft w:val="0"/>
      <w:marRight w:val="0"/>
      <w:marTop w:val="0"/>
      <w:marBottom w:val="0"/>
      <w:divBdr>
        <w:top w:val="none" w:sz="0" w:space="0" w:color="auto"/>
        <w:left w:val="none" w:sz="0" w:space="0" w:color="auto"/>
        <w:bottom w:val="none" w:sz="0" w:space="0" w:color="auto"/>
        <w:right w:val="none" w:sz="0" w:space="0" w:color="auto"/>
      </w:divBdr>
    </w:div>
    <w:div w:id="429669706">
      <w:bodyDiv w:val="1"/>
      <w:marLeft w:val="0"/>
      <w:marRight w:val="0"/>
      <w:marTop w:val="0"/>
      <w:marBottom w:val="0"/>
      <w:divBdr>
        <w:top w:val="none" w:sz="0" w:space="0" w:color="auto"/>
        <w:left w:val="none" w:sz="0" w:space="0" w:color="auto"/>
        <w:bottom w:val="none" w:sz="0" w:space="0" w:color="auto"/>
        <w:right w:val="none" w:sz="0" w:space="0" w:color="auto"/>
      </w:divBdr>
    </w:div>
    <w:div w:id="437603014">
      <w:bodyDiv w:val="1"/>
      <w:marLeft w:val="0"/>
      <w:marRight w:val="0"/>
      <w:marTop w:val="0"/>
      <w:marBottom w:val="0"/>
      <w:divBdr>
        <w:top w:val="none" w:sz="0" w:space="0" w:color="auto"/>
        <w:left w:val="none" w:sz="0" w:space="0" w:color="auto"/>
        <w:bottom w:val="none" w:sz="0" w:space="0" w:color="auto"/>
        <w:right w:val="none" w:sz="0" w:space="0" w:color="auto"/>
      </w:divBdr>
    </w:div>
    <w:div w:id="442312845">
      <w:bodyDiv w:val="1"/>
      <w:marLeft w:val="0"/>
      <w:marRight w:val="0"/>
      <w:marTop w:val="0"/>
      <w:marBottom w:val="0"/>
      <w:divBdr>
        <w:top w:val="none" w:sz="0" w:space="0" w:color="auto"/>
        <w:left w:val="none" w:sz="0" w:space="0" w:color="auto"/>
        <w:bottom w:val="none" w:sz="0" w:space="0" w:color="auto"/>
        <w:right w:val="none" w:sz="0" w:space="0" w:color="auto"/>
      </w:divBdr>
    </w:div>
    <w:div w:id="469246501">
      <w:bodyDiv w:val="1"/>
      <w:marLeft w:val="0"/>
      <w:marRight w:val="0"/>
      <w:marTop w:val="0"/>
      <w:marBottom w:val="0"/>
      <w:divBdr>
        <w:top w:val="none" w:sz="0" w:space="0" w:color="auto"/>
        <w:left w:val="none" w:sz="0" w:space="0" w:color="auto"/>
        <w:bottom w:val="none" w:sz="0" w:space="0" w:color="auto"/>
        <w:right w:val="none" w:sz="0" w:space="0" w:color="auto"/>
      </w:divBdr>
    </w:div>
    <w:div w:id="507330011">
      <w:bodyDiv w:val="1"/>
      <w:marLeft w:val="0"/>
      <w:marRight w:val="0"/>
      <w:marTop w:val="0"/>
      <w:marBottom w:val="0"/>
      <w:divBdr>
        <w:top w:val="none" w:sz="0" w:space="0" w:color="auto"/>
        <w:left w:val="none" w:sz="0" w:space="0" w:color="auto"/>
        <w:bottom w:val="none" w:sz="0" w:space="0" w:color="auto"/>
        <w:right w:val="none" w:sz="0" w:space="0" w:color="auto"/>
      </w:divBdr>
    </w:div>
    <w:div w:id="520706497">
      <w:bodyDiv w:val="1"/>
      <w:marLeft w:val="0"/>
      <w:marRight w:val="0"/>
      <w:marTop w:val="0"/>
      <w:marBottom w:val="0"/>
      <w:divBdr>
        <w:top w:val="none" w:sz="0" w:space="0" w:color="auto"/>
        <w:left w:val="none" w:sz="0" w:space="0" w:color="auto"/>
        <w:bottom w:val="none" w:sz="0" w:space="0" w:color="auto"/>
        <w:right w:val="none" w:sz="0" w:space="0" w:color="auto"/>
      </w:divBdr>
    </w:div>
    <w:div w:id="521477155">
      <w:bodyDiv w:val="1"/>
      <w:marLeft w:val="0"/>
      <w:marRight w:val="0"/>
      <w:marTop w:val="0"/>
      <w:marBottom w:val="0"/>
      <w:divBdr>
        <w:top w:val="none" w:sz="0" w:space="0" w:color="auto"/>
        <w:left w:val="none" w:sz="0" w:space="0" w:color="auto"/>
        <w:bottom w:val="none" w:sz="0" w:space="0" w:color="auto"/>
        <w:right w:val="none" w:sz="0" w:space="0" w:color="auto"/>
      </w:divBdr>
    </w:div>
    <w:div w:id="605432468">
      <w:bodyDiv w:val="1"/>
      <w:marLeft w:val="0"/>
      <w:marRight w:val="0"/>
      <w:marTop w:val="0"/>
      <w:marBottom w:val="0"/>
      <w:divBdr>
        <w:top w:val="none" w:sz="0" w:space="0" w:color="auto"/>
        <w:left w:val="none" w:sz="0" w:space="0" w:color="auto"/>
        <w:bottom w:val="none" w:sz="0" w:space="0" w:color="auto"/>
        <w:right w:val="none" w:sz="0" w:space="0" w:color="auto"/>
      </w:divBdr>
    </w:div>
    <w:div w:id="623198777">
      <w:bodyDiv w:val="1"/>
      <w:marLeft w:val="0"/>
      <w:marRight w:val="0"/>
      <w:marTop w:val="0"/>
      <w:marBottom w:val="0"/>
      <w:divBdr>
        <w:top w:val="none" w:sz="0" w:space="0" w:color="auto"/>
        <w:left w:val="none" w:sz="0" w:space="0" w:color="auto"/>
        <w:bottom w:val="none" w:sz="0" w:space="0" w:color="auto"/>
        <w:right w:val="none" w:sz="0" w:space="0" w:color="auto"/>
      </w:divBdr>
    </w:div>
    <w:div w:id="630598004">
      <w:bodyDiv w:val="1"/>
      <w:marLeft w:val="0"/>
      <w:marRight w:val="0"/>
      <w:marTop w:val="0"/>
      <w:marBottom w:val="0"/>
      <w:divBdr>
        <w:top w:val="none" w:sz="0" w:space="0" w:color="auto"/>
        <w:left w:val="none" w:sz="0" w:space="0" w:color="auto"/>
        <w:bottom w:val="none" w:sz="0" w:space="0" w:color="auto"/>
        <w:right w:val="none" w:sz="0" w:space="0" w:color="auto"/>
      </w:divBdr>
    </w:div>
    <w:div w:id="678119074">
      <w:bodyDiv w:val="1"/>
      <w:marLeft w:val="0"/>
      <w:marRight w:val="0"/>
      <w:marTop w:val="0"/>
      <w:marBottom w:val="0"/>
      <w:divBdr>
        <w:top w:val="none" w:sz="0" w:space="0" w:color="auto"/>
        <w:left w:val="none" w:sz="0" w:space="0" w:color="auto"/>
        <w:bottom w:val="none" w:sz="0" w:space="0" w:color="auto"/>
        <w:right w:val="none" w:sz="0" w:space="0" w:color="auto"/>
      </w:divBdr>
    </w:div>
    <w:div w:id="684094447">
      <w:bodyDiv w:val="1"/>
      <w:marLeft w:val="0"/>
      <w:marRight w:val="0"/>
      <w:marTop w:val="0"/>
      <w:marBottom w:val="0"/>
      <w:divBdr>
        <w:top w:val="none" w:sz="0" w:space="0" w:color="auto"/>
        <w:left w:val="none" w:sz="0" w:space="0" w:color="auto"/>
        <w:bottom w:val="none" w:sz="0" w:space="0" w:color="auto"/>
        <w:right w:val="none" w:sz="0" w:space="0" w:color="auto"/>
      </w:divBdr>
    </w:div>
    <w:div w:id="695498637">
      <w:bodyDiv w:val="1"/>
      <w:marLeft w:val="0"/>
      <w:marRight w:val="0"/>
      <w:marTop w:val="0"/>
      <w:marBottom w:val="0"/>
      <w:divBdr>
        <w:top w:val="none" w:sz="0" w:space="0" w:color="auto"/>
        <w:left w:val="none" w:sz="0" w:space="0" w:color="auto"/>
        <w:bottom w:val="none" w:sz="0" w:space="0" w:color="auto"/>
        <w:right w:val="none" w:sz="0" w:space="0" w:color="auto"/>
      </w:divBdr>
    </w:div>
    <w:div w:id="740130179">
      <w:bodyDiv w:val="1"/>
      <w:marLeft w:val="0"/>
      <w:marRight w:val="0"/>
      <w:marTop w:val="0"/>
      <w:marBottom w:val="0"/>
      <w:divBdr>
        <w:top w:val="none" w:sz="0" w:space="0" w:color="auto"/>
        <w:left w:val="none" w:sz="0" w:space="0" w:color="auto"/>
        <w:bottom w:val="none" w:sz="0" w:space="0" w:color="auto"/>
        <w:right w:val="none" w:sz="0" w:space="0" w:color="auto"/>
      </w:divBdr>
    </w:div>
    <w:div w:id="750930265">
      <w:bodyDiv w:val="1"/>
      <w:marLeft w:val="0"/>
      <w:marRight w:val="0"/>
      <w:marTop w:val="0"/>
      <w:marBottom w:val="0"/>
      <w:divBdr>
        <w:top w:val="none" w:sz="0" w:space="0" w:color="auto"/>
        <w:left w:val="none" w:sz="0" w:space="0" w:color="auto"/>
        <w:bottom w:val="none" w:sz="0" w:space="0" w:color="auto"/>
        <w:right w:val="none" w:sz="0" w:space="0" w:color="auto"/>
      </w:divBdr>
    </w:div>
    <w:div w:id="766081009">
      <w:bodyDiv w:val="1"/>
      <w:marLeft w:val="0"/>
      <w:marRight w:val="0"/>
      <w:marTop w:val="0"/>
      <w:marBottom w:val="0"/>
      <w:divBdr>
        <w:top w:val="none" w:sz="0" w:space="0" w:color="auto"/>
        <w:left w:val="none" w:sz="0" w:space="0" w:color="auto"/>
        <w:bottom w:val="none" w:sz="0" w:space="0" w:color="auto"/>
        <w:right w:val="none" w:sz="0" w:space="0" w:color="auto"/>
      </w:divBdr>
    </w:div>
    <w:div w:id="775172124">
      <w:bodyDiv w:val="1"/>
      <w:marLeft w:val="0"/>
      <w:marRight w:val="0"/>
      <w:marTop w:val="0"/>
      <w:marBottom w:val="0"/>
      <w:divBdr>
        <w:top w:val="none" w:sz="0" w:space="0" w:color="auto"/>
        <w:left w:val="none" w:sz="0" w:space="0" w:color="auto"/>
        <w:bottom w:val="none" w:sz="0" w:space="0" w:color="auto"/>
        <w:right w:val="none" w:sz="0" w:space="0" w:color="auto"/>
      </w:divBdr>
    </w:div>
    <w:div w:id="778260787">
      <w:bodyDiv w:val="1"/>
      <w:marLeft w:val="0"/>
      <w:marRight w:val="0"/>
      <w:marTop w:val="0"/>
      <w:marBottom w:val="0"/>
      <w:divBdr>
        <w:top w:val="none" w:sz="0" w:space="0" w:color="auto"/>
        <w:left w:val="none" w:sz="0" w:space="0" w:color="auto"/>
        <w:bottom w:val="none" w:sz="0" w:space="0" w:color="auto"/>
        <w:right w:val="none" w:sz="0" w:space="0" w:color="auto"/>
      </w:divBdr>
    </w:div>
    <w:div w:id="815340805">
      <w:bodyDiv w:val="1"/>
      <w:marLeft w:val="0"/>
      <w:marRight w:val="0"/>
      <w:marTop w:val="0"/>
      <w:marBottom w:val="0"/>
      <w:divBdr>
        <w:top w:val="none" w:sz="0" w:space="0" w:color="auto"/>
        <w:left w:val="none" w:sz="0" w:space="0" w:color="auto"/>
        <w:bottom w:val="none" w:sz="0" w:space="0" w:color="auto"/>
        <w:right w:val="none" w:sz="0" w:space="0" w:color="auto"/>
      </w:divBdr>
    </w:div>
    <w:div w:id="923150323">
      <w:bodyDiv w:val="1"/>
      <w:marLeft w:val="0"/>
      <w:marRight w:val="0"/>
      <w:marTop w:val="0"/>
      <w:marBottom w:val="0"/>
      <w:divBdr>
        <w:top w:val="none" w:sz="0" w:space="0" w:color="auto"/>
        <w:left w:val="none" w:sz="0" w:space="0" w:color="auto"/>
        <w:bottom w:val="none" w:sz="0" w:space="0" w:color="auto"/>
        <w:right w:val="none" w:sz="0" w:space="0" w:color="auto"/>
      </w:divBdr>
    </w:div>
    <w:div w:id="939996464">
      <w:bodyDiv w:val="1"/>
      <w:marLeft w:val="0"/>
      <w:marRight w:val="0"/>
      <w:marTop w:val="0"/>
      <w:marBottom w:val="0"/>
      <w:divBdr>
        <w:top w:val="none" w:sz="0" w:space="0" w:color="auto"/>
        <w:left w:val="none" w:sz="0" w:space="0" w:color="auto"/>
        <w:bottom w:val="none" w:sz="0" w:space="0" w:color="auto"/>
        <w:right w:val="none" w:sz="0" w:space="0" w:color="auto"/>
      </w:divBdr>
    </w:div>
    <w:div w:id="953436628">
      <w:bodyDiv w:val="1"/>
      <w:marLeft w:val="0"/>
      <w:marRight w:val="0"/>
      <w:marTop w:val="0"/>
      <w:marBottom w:val="0"/>
      <w:divBdr>
        <w:top w:val="none" w:sz="0" w:space="0" w:color="auto"/>
        <w:left w:val="none" w:sz="0" w:space="0" w:color="auto"/>
        <w:bottom w:val="none" w:sz="0" w:space="0" w:color="auto"/>
        <w:right w:val="none" w:sz="0" w:space="0" w:color="auto"/>
      </w:divBdr>
    </w:div>
    <w:div w:id="955018165">
      <w:bodyDiv w:val="1"/>
      <w:marLeft w:val="0"/>
      <w:marRight w:val="0"/>
      <w:marTop w:val="0"/>
      <w:marBottom w:val="0"/>
      <w:divBdr>
        <w:top w:val="none" w:sz="0" w:space="0" w:color="auto"/>
        <w:left w:val="none" w:sz="0" w:space="0" w:color="auto"/>
        <w:bottom w:val="none" w:sz="0" w:space="0" w:color="auto"/>
        <w:right w:val="none" w:sz="0" w:space="0" w:color="auto"/>
      </w:divBdr>
    </w:div>
    <w:div w:id="967278083">
      <w:bodyDiv w:val="1"/>
      <w:marLeft w:val="0"/>
      <w:marRight w:val="0"/>
      <w:marTop w:val="0"/>
      <w:marBottom w:val="0"/>
      <w:divBdr>
        <w:top w:val="none" w:sz="0" w:space="0" w:color="auto"/>
        <w:left w:val="none" w:sz="0" w:space="0" w:color="auto"/>
        <w:bottom w:val="none" w:sz="0" w:space="0" w:color="auto"/>
        <w:right w:val="none" w:sz="0" w:space="0" w:color="auto"/>
      </w:divBdr>
    </w:div>
    <w:div w:id="993533005">
      <w:bodyDiv w:val="1"/>
      <w:marLeft w:val="0"/>
      <w:marRight w:val="0"/>
      <w:marTop w:val="0"/>
      <w:marBottom w:val="0"/>
      <w:divBdr>
        <w:top w:val="none" w:sz="0" w:space="0" w:color="auto"/>
        <w:left w:val="none" w:sz="0" w:space="0" w:color="auto"/>
        <w:bottom w:val="none" w:sz="0" w:space="0" w:color="auto"/>
        <w:right w:val="none" w:sz="0" w:space="0" w:color="auto"/>
      </w:divBdr>
    </w:div>
    <w:div w:id="1011184680">
      <w:bodyDiv w:val="1"/>
      <w:marLeft w:val="0"/>
      <w:marRight w:val="0"/>
      <w:marTop w:val="0"/>
      <w:marBottom w:val="0"/>
      <w:divBdr>
        <w:top w:val="none" w:sz="0" w:space="0" w:color="auto"/>
        <w:left w:val="none" w:sz="0" w:space="0" w:color="auto"/>
        <w:bottom w:val="none" w:sz="0" w:space="0" w:color="auto"/>
        <w:right w:val="none" w:sz="0" w:space="0" w:color="auto"/>
      </w:divBdr>
    </w:div>
    <w:div w:id="1020086895">
      <w:bodyDiv w:val="1"/>
      <w:marLeft w:val="0"/>
      <w:marRight w:val="0"/>
      <w:marTop w:val="0"/>
      <w:marBottom w:val="0"/>
      <w:divBdr>
        <w:top w:val="none" w:sz="0" w:space="0" w:color="auto"/>
        <w:left w:val="none" w:sz="0" w:space="0" w:color="auto"/>
        <w:bottom w:val="none" w:sz="0" w:space="0" w:color="auto"/>
        <w:right w:val="none" w:sz="0" w:space="0" w:color="auto"/>
      </w:divBdr>
    </w:div>
    <w:div w:id="1025401690">
      <w:bodyDiv w:val="1"/>
      <w:marLeft w:val="0"/>
      <w:marRight w:val="0"/>
      <w:marTop w:val="0"/>
      <w:marBottom w:val="0"/>
      <w:divBdr>
        <w:top w:val="none" w:sz="0" w:space="0" w:color="auto"/>
        <w:left w:val="none" w:sz="0" w:space="0" w:color="auto"/>
        <w:bottom w:val="none" w:sz="0" w:space="0" w:color="auto"/>
        <w:right w:val="none" w:sz="0" w:space="0" w:color="auto"/>
      </w:divBdr>
    </w:div>
    <w:div w:id="1063215748">
      <w:bodyDiv w:val="1"/>
      <w:marLeft w:val="0"/>
      <w:marRight w:val="0"/>
      <w:marTop w:val="0"/>
      <w:marBottom w:val="0"/>
      <w:divBdr>
        <w:top w:val="none" w:sz="0" w:space="0" w:color="auto"/>
        <w:left w:val="none" w:sz="0" w:space="0" w:color="auto"/>
        <w:bottom w:val="none" w:sz="0" w:space="0" w:color="auto"/>
        <w:right w:val="none" w:sz="0" w:space="0" w:color="auto"/>
      </w:divBdr>
    </w:div>
    <w:div w:id="1071274939">
      <w:bodyDiv w:val="1"/>
      <w:marLeft w:val="0"/>
      <w:marRight w:val="0"/>
      <w:marTop w:val="0"/>
      <w:marBottom w:val="0"/>
      <w:divBdr>
        <w:top w:val="none" w:sz="0" w:space="0" w:color="auto"/>
        <w:left w:val="none" w:sz="0" w:space="0" w:color="auto"/>
        <w:bottom w:val="none" w:sz="0" w:space="0" w:color="auto"/>
        <w:right w:val="none" w:sz="0" w:space="0" w:color="auto"/>
      </w:divBdr>
    </w:div>
    <w:div w:id="1078206644">
      <w:bodyDiv w:val="1"/>
      <w:marLeft w:val="0"/>
      <w:marRight w:val="0"/>
      <w:marTop w:val="0"/>
      <w:marBottom w:val="0"/>
      <w:divBdr>
        <w:top w:val="none" w:sz="0" w:space="0" w:color="auto"/>
        <w:left w:val="none" w:sz="0" w:space="0" w:color="auto"/>
        <w:bottom w:val="none" w:sz="0" w:space="0" w:color="auto"/>
        <w:right w:val="none" w:sz="0" w:space="0" w:color="auto"/>
      </w:divBdr>
    </w:div>
    <w:div w:id="1089039519">
      <w:bodyDiv w:val="1"/>
      <w:marLeft w:val="0"/>
      <w:marRight w:val="0"/>
      <w:marTop w:val="0"/>
      <w:marBottom w:val="0"/>
      <w:divBdr>
        <w:top w:val="none" w:sz="0" w:space="0" w:color="auto"/>
        <w:left w:val="none" w:sz="0" w:space="0" w:color="auto"/>
        <w:bottom w:val="none" w:sz="0" w:space="0" w:color="auto"/>
        <w:right w:val="none" w:sz="0" w:space="0" w:color="auto"/>
      </w:divBdr>
    </w:div>
    <w:div w:id="1096631196">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58109832">
      <w:bodyDiv w:val="1"/>
      <w:marLeft w:val="0"/>
      <w:marRight w:val="0"/>
      <w:marTop w:val="0"/>
      <w:marBottom w:val="0"/>
      <w:divBdr>
        <w:top w:val="none" w:sz="0" w:space="0" w:color="auto"/>
        <w:left w:val="none" w:sz="0" w:space="0" w:color="auto"/>
        <w:bottom w:val="none" w:sz="0" w:space="0" w:color="auto"/>
        <w:right w:val="none" w:sz="0" w:space="0" w:color="auto"/>
      </w:divBdr>
    </w:div>
    <w:div w:id="1172256180">
      <w:bodyDiv w:val="1"/>
      <w:marLeft w:val="0"/>
      <w:marRight w:val="0"/>
      <w:marTop w:val="0"/>
      <w:marBottom w:val="0"/>
      <w:divBdr>
        <w:top w:val="none" w:sz="0" w:space="0" w:color="auto"/>
        <w:left w:val="none" w:sz="0" w:space="0" w:color="auto"/>
        <w:bottom w:val="none" w:sz="0" w:space="0" w:color="auto"/>
        <w:right w:val="none" w:sz="0" w:space="0" w:color="auto"/>
      </w:divBdr>
    </w:div>
    <w:div w:id="1180507742">
      <w:bodyDiv w:val="1"/>
      <w:marLeft w:val="0"/>
      <w:marRight w:val="0"/>
      <w:marTop w:val="0"/>
      <w:marBottom w:val="0"/>
      <w:divBdr>
        <w:top w:val="none" w:sz="0" w:space="0" w:color="auto"/>
        <w:left w:val="none" w:sz="0" w:space="0" w:color="auto"/>
        <w:bottom w:val="none" w:sz="0" w:space="0" w:color="auto"/>
        <w:right w:val="none" w:sz="0" w:space="0" w:color="auto"/>
      </w:divBdr>
    </w:div>
    <w:div w:id="1186747191">
      <w:bodyDiv w:val="1"/>
      <w:marLeft w:val="0"/>
      <w:marRight w:val="0"/>
      <w:marTop w:val="0"/>
      <w:marBottom w:val="0"/>
      <w:divBdr>
        <w:top w:val="none" w:sz="0" w:space="0" w:color="auto"/>
        <w:left w:val="none" w:sz="0" w:space="0" w:color="auto"/>
        <w:bottom w:val="none" w:sz="0" w:space="0" w:color="auto"/>
        <w:right w:val="none" w:sz="0" w:space="0" w:color="auto"/>
      </w:divBdr>
    </w:div>
    <w:div w:id="1194730062">
      <w:bodyDiv w:val="1"/>
      <w:marLeft w:val="0"/>
      <w:marRight w:val="0"/>
      <w:marTop w:val="0"/>
      <w:marBottom w:val="0"/>
      <w:divBdr>
        <w:top w:val="none" w:sz="0" w:space="0" w:color="auto"/>
        <w:left w:val="none" w:sz="0" w:space="0" w:color="auto"/>
        <w:bottom w:val="none" w:sz="0" w:space="0" w:color="auto"/>
        <w:right w:val="none" w:sz="0" w:space="0" w:color="auto"/>
      </w:divBdr>
    </w:div>
    <w:div w:id="1229918977">
      <w:bodyDiv w:val="1"/>
      <w:marLeft w:val="0"/>
      <w:marRight w:val="0"/>
      <w:marTop w:val="0"/>
      <w:marBottom w:val="0"/>
      <w:divBdr>
        <w:top w:val="none" w:sz="0" w:space="0" w:color="auto"/>
        <w:left w:val="none" w:sz="0" w:space="0" w:color="auto"/>
        <w:bottom w:val="none" w:sz="0" w:space="0" w:color="auto"/>
        <w:right w:val="none" w:sz="0" w:space="0" w:color="auto"/>
      </w:divBdr>
    </w:div>
    <w:div w:id="1237665451">
      <w:bodyDiv w:val="1"/>
      <w:marLeft w:val="0"/>
      <w:marRight w:val="0"/>
      <w:marTop w:val="0"/>
      <w:marBottom w:val="0"/>
      <w:divBdr>
        <w:top w:val="none" w:sz="0" w:space="0" w:color="auto"/>
        <w:left w:val="none" w:sz="0" w:space="0" w:color="auto"/>
        <w:bottom w:val="none" w:sz="0" w:space="0" w:color="auto"/>
        <w:right w:val="none" w:sz="0" w:space="0" w:color="auto"/>
      </w:divBdr>
    </w:div>
    <w:div w:id="1250771297">
      <w:bodyDiv w:val="1"/>
      <w:marLeft w:val="0"/>
      <w:marRight w:val="0"/>
      <w:marTop w:val="0"/>
      <w:marBottom w:val="0"/>
      <w:divBdr>
        <w:top w:val="none" w:sz="0" w:space="0" w:color="auto"/>
        <w:left w:val="none" w:sz="0" w:space="0" w:color="auto"/>
        <w:bottom w:val="none" w:sz="0" w:space="0" w:color="auto"/>
        <w:right w:val="none" w:sz="0" w:space="0" w:color="auto"/>
      </w:divBdr>
    </w:div>
    <w:div w:id="1300379332">
      <w:bodyDiv w:val="1"/>
      <w:marLeft w:val="0"/>
      <w:marRight w:val="0"/>
      <w:marTop w:val="0"/>
      <w:marBottom w:val="0"/>
      <w:divBdr>
        <w:top w:val="none" w:sz="0" w:space="0" w:color="auto"/>
        <w:left w:val="none" w:sz="0" w:space="0" w:color="auto"/>
        <w:bottom w:val="none" w:sz="0" w:space="0" w:color="auto"/>
        <w:right w:val="none" w:sz="0" w:space="0" w:color="auto"/>
      </w:divBdr>
    </w:div>
    <w:div w:id="1301494190">
      <w:bodyDiv w:val="1"/>
      <w:marLeft w:val="0"/>
      <w:marRight w:val="0"/>
      <w:marTop w:val="0"/>
      <w:marBottom w:val="0"/>
      <w:divBdr>
        <w:top w:val="none" w:sz="0" w:space="0" w:color="auto"/>
        <w:left w:val="none" w:sz="0" w:space="0" w:color="auto"/>
        <w:bottom w:val="none" w:sz="0" w:space="0" w:color="auto"/>
        <w:right w:val="none" w:sz="0" w:space="0" w:color="auto"/>
      </w:divBdr>
    </w:div>
    <w:div w:id="1311250047">
      <w:bodyDiv w:val="1"/>
      <w:marLeft w:val="0"/>
      <w:marRight w:val="0"/>
      <w:marTop w:val="0"/>
      <w:marBottom w:val="0"/>
      <w:divBdr>
        <w:top w:val="none" w:sz="0" w:space="0" w:color="auto"/>
        <w:left w:val="none" w:sz="0" w:space="0" w:color="auto"/>
        <w:bottom w:val="none" w:sz="0" w:space="0" w:color="auto"/>
        <w:right w:val="none" w:sz="0" w:space="0" w:color="auto"/>
      </w:divBdr>
    </w:div>
    <w:div w:id="1314488141">
      <w:bodyDiv w:val="1"/>
      <w:marLeft w:val="0"/>
      <w:marRight w:val="0"/>
      <w:marTop w:val="0"/>
      <w:marBottom w:val="0"/>
      <w:divBdr>
        <w:top w:val="none" w:sz="0" w:space="0" w:color="auto"/>
        <w:left w:val="none" w:sz="0" w:space="0" w:color="auto"/>
        <w:bottom w:val="none" w:sz="0" w:space="0" w:color="auto"/>
        <w:right w:val="none" w:sz="0" w:space="0" w:color="auto"/>
      </w:divBdr>
    </w:div>
    <w:div w:id="1316573178">
      <w:bodyDiv w:val="1"/>
      <w:marLeft w:val="0"/>
      <w:marRight w:val="0"/>
      <w:marTop w:val="0"/>
      <w:marBottom w:val="0"/>
      <w:divBdr>
        <w:top w:val="none" w:sz="0" w:space="0" w:color="auto"/>
        <w:left w:val="none" w:sz="0" w:space="0" w:color="auto"/>
        <w:bottom w:val="none" w:sz="0" w:space="0" w:color="auto"/>
        <w:right w:val="none" w:sz="0" w:space="0" w:color="auto"/>
      </w:divBdr>
    </w:div>
    <w:div w:id="1347711169">
      <w:bodyDiv w:val="1"/>
      <w:marLeft w:val="0"/>
      <w:marRight w:val="0"/>
      <w:marTop w:val="0"/>
      <w:marBottom w:val="0"/>
      <w:divBdr>
        <w:top w:val="none" w:sz="0" w:space="0" w:color="auto"/>
        <w:left w:val="none" w:sz="0" w:space="0" w:color="auto"/>
        <w:bottom w:val="none" w:sz="0" w:space="0" w:color="auto"/>
        <w:right w:val="none" w:sz="0" w:space="0" w:color="auto"/>
      </w:divBdr>
    </w:div>
    <w:div w:id="1349599182">
      <w:bodyDiv w:val="1"/>
      <w:marLeft w:val="0"/>
      <w:marRight w:val="0"/>
      <w:marTop w:val="0"/>
      <w:marBottom w:val="0"/>
      <w:divBdr>
        <w:top w:val="none" w:sz="0" w:space="0" w:color="auto"/>
        <w:left w:val="none" w:sz="0" w:space="0" w:color="auto"/>
        <w:bottom w:val="none" w:sz="0" w:space="0" w:color="auto"/>
        <w:right w:val="none" w:sz="0" w:space="0" w:color="auto"/>
      </w:divBdr>
    </w:div>
    <w:div w:id="1361659772">
      <w:bodyDiv w:val="1"/>
      <w:marLeft w:val="0"/>
      <w:marRight w:val="0"/>
      <w:marTop w:val="0"/>
      <w:marBottom w:val="0"/>
      <w:divBdr>
        <w:top w:val="none" w:sz="0" w:space="0" w:color="auto"/>
        <w:left w:val="none" w:sz="0" w:space="0" w:color="auto"/>
        <w:bottom w:val="none" w:sz="0" w:space="0" w:color="auto"/>
        <w:right w:val="none" w:sz="0" w:space="0" w:color="auto"/>
      </w:divBdr>
    </w:div>
    <w:div w:id="1390304876">
      <w:bodyDiv w:val="1"/>
      <w:marLeft w:val="0"/>
      <w:marRight w:val="0"/>
      <w:marTop w:val="0"/>
      <w:marBottom w:val="0"/>
      <w:divBdr>
        <w:top w:val="none" w:sz="0" w:space="0" w:color="auto"/>
        <w:left w:val="none" w:sz="0" w:space="0" w:color="auto"/>
        <w:bottom w:val="none" w:sz="0" w:space="0" w:color="auto"/>
        <w:right w:val="none" w:sz="0" w:space="0" w:color="auto"/>
      </w:divBdr>
    </w:div>
    <w:div w:id="1408500591">
      <w:bodyDiv w:val="1"/>
      <w:marLeft w:val="0"/>
      <w:marRight w:val="0"/>
      <w:marTop w:val="0"/>
      <w:marBottom w:val="0"/>
      <w:divBdr>
        <w:top w:val="none" w:sz="0" w:space="0" w:color="auto"/>
        <w:left w:val="none" w:sz="0" w:space="0" w:color="auto"/>
        <w:bottom w:val="none" w:sz="0" w:space="0" w:color="auto"/>
        <w:right w:val="none" w:sz="0" w:space="0" w:color="auto"/>
      </w:divBdr>
    </w:div>
    <w:div w:id="1412970288">
      <w:bodyDiv w:val="1"/>
      <w:marLeft w:val="0"/>
      <w:marRight w:val="0"/>
      <w:marTop w:val="0"/>
      <w:marBottom w:val="0"/>
      <w:divBdr>
        <w:top w:val="none" w:sz="0" w:space="0" w:color="auto"/>
        <w:left w:val="none" w:sz="0" w:space="0" w:color="auto"/>
        <w:bottom w:val="none" w:sz="0" w:space="0" w:color="auto"/>
        <w:right w:val="none" w:sz="0" w:space="0" w:color="auto"/>
      </w:divBdr>
    </w:div>
    <w:div w:id="1464274182">
      <w:bodyDiv w:val="1"/>
      <w:marLeft w:val="0"/>
      <w:marRight w:val="0"/>
      <w:marTop w:val="0"/>
      <w:marBottom w:val="0"/>
      <w:divBdr>
        <w:top w:val="none" w:sz="0" w:space="0" w:color="auto"/>
        <w:left w:val="none" w:sz="0" w:space="0" w:color="auto"/>
        <w:bottom w:val="none" w:sz="0" w:space="0" w:color="auto"/>
        <w:right w:val="none" w:sz="0" w:space="0" w:color="auto"/>
      </w:divBdr>
    </w:div>
    <w:div w:id="1476800121">
      <w:bodyDiv w:val="1"/>
      <w:marLeft w:val="0"/>
      <w:marRight w:val="0"/>
      <w:marTop w:val="0"/>
      <w:marBottom w:val="0"/>
      <w:divBdr>
        <w:top w:val="none" w:sz="0" w:space="0" w:color="auto"/>
        <w:left w:val="none" w:sz="0" w:space="0" w:color="auto"/>
        <w:bottom w:val="none" w:sz="0" w:space="0" w:color="auto"/>
        <w:right w:val="none" w:sz="0" w:space="0" w:color="auto"/>
      </w:divBdr>
    </w:div>
    <w:div w:id="1507749652">
      <w:bodyDiv w:val="1"/>
      <w:marLeft w:val="0"/>
      <w:marRight w:val="0"/>
      <w:marTop w:val="0"/>
      <w:marBottom w:val="0"/>
      <w:divBdr>
        <w:top w:val="none" w:sz="0" w:space="0" w:color="auto"/>
        <w:left w:val="none" w:sz="0" w:space="0" w:color="auto"/>
        <w:bottom w:val="none" w:sz="0" w:space="0" w:color="auto"/>
        <w:right w:val="none" w:sz="0" w:space="0" w:color="auto"/>
      </w:divBdr>
    </w:div>
    <w:div w:id="1534805761">
      <w:bodyDiv w:val="1"/>
      <w:marLeft w:val="0"/>
      <w:marRight w:val="0"/>
      <w:marTop w:val="0"/>
      <w:marBottom w:val="0"/>
      <w:divBdr>
        <w:top w:val="none" w:sz="0" w:space="0" w:color="auto"/>
        <w:left w:val="none" w:sz="0" w:space="0" w:color="auto"/>
        <w:bottom w:val="none" w:sz="0" w:space="0" w:color="auto"/>
        <w:right w:val="none" w:sz="0" w:space="0" w:color="auto"/>
      </w:divBdr>
    </w:div>
    <w:div w:id="1539705476">
      <w:bodyDiv w:val="1"/>
      <w:marLeft w:val="0"/>
      <w:marRight w:val="0"/>
      <w:marTop w:val="0"/>
      <w:marBottom w:val="0"/>
      <w:divBdr>
        <w:top w:val="none" w:sz="0" w:space="0" w:color="auto"/>
        <w:left w:val="none" w:sz="0" w:space="0" w:color="auto"/>
        <w:bottom w:val="none" w:sz="0" w:space="0" w:color="auto"/>
        <w:right w:val="none" w:sz="0" w:space="0" w:color="auto"/>
      </w:divBdr>
    </w:div>
    <w:div w:id="1599096823">
      <w:bodyDiv w:val="1"/>
      <w:marLeft w:val="0"/>
      <w:marRight w:val="0"/>
      <w:marTop w:val="0"/>
      <w:marBottom w:val="0"/>
      <w:divBdr>
        <w:top w:val="none" w:sz="0" w:space="0" w:color="auto"/>
        <w:left w:val="none" w:sz="0" w:space="0" w:color="auto"/>
        <w:bottom w:val="none" w:sz="0" w:space="0" w:color="auto"/>
        <w:right w:val="none" w:sz="0" w:space="0" w:color="auto"/>
      </w:divBdr>
    </w:div>
    <w:div w:id="1599367613">
      <w:bodyDiv w:val="1"/>
      <w:marLeft w:val="0"/>
      <w:marRight w:val="0"/>
      <w:marTop w:val="0"/>
      <w:marBottom w:val="0"/>
      <w:divBdr>
        <w:top w:val="none" w:sz="0" w:space="0" w:color="auto"/>
        <w:left w:val="none" w:sz="0" w:space="0" w:color="auto"/>
        <w:bottom w:val="none" w:sz="0" w:space="0" w:color="auto"/>
        <w:right w:val="none" w:sz="0" w:space="0" w:color="auto"/>
      </w:divBdr>
    </w:div>
    <w:div w:id="1650591625">
      <w:bodyDiv w:val="1"/>
      <w:marLeft w:val="0"/>
      <w:marRight w:val="0"/>
      <w:marTop w:val="0"/>
      <w:marBottom w:val="0"/>
      <w:divBdr>
        <w:top w:val="none" w:sz="0" w:space="0" w:color="auto"/>
        <w:left w:val="none" w:sz="0" w:space="0" w:color="auto"/>
        <w:bottom w:val="none" w:sz="0" w:space="0" w:color="auto"/>
        <w:right w:val="none" w:sz="0" w:space="0" w:color="auto"/>
      </w:divBdr>
    </w:div>
    <w:div w:id="1672440685">
      <w:bodyDiv w:val="1"/>
      <w:marLeft w:val="0"/>
      <w:marRight w:val="0"/>
      <w:marTop w:val="0"/>
      <w:marBottom w:val="0"/>
      <w:divBdr>
        <w:top w:val="none" w:sz="0" w:space="0" w:color="auto"/>
        <w:left w:val="none" w:sz="0" w:space="0" w:color="auto"/>
        <w:bottom w:val="none" w:sz="0" w:space="0" w:color="auto"/>
        <w:right w:val="none" w:sz="0" w:space="0" w:color="auto"/>
      </w:divBdr>
    </w:div>
    <w:div w:id="1677416575">
      <w:bodyDiv w:val="1"/>
      <w:marLeft w:val="0"/>
      <w:marRight w:val="0"/>
      <w:marTop w:val="0"/>
      <w:marBottom w:val="0"/>
      <w:divBdr>
        <w:top w:val="none" w:sz="0" w:space="0" w:color="auto"/>
        <w:left w:val="none" w:sz="0" w:space="0" w:color="auto"/>
        <w:bottom w:val="none" w:sz="0" w:space="0" w:color="auto"/>
        <w:right w:val="none" w:sz="0" w:space="0" w:color="auto"/>
      </w:divBdr>
    </w:div>
    <w:div w:id="1693678739">
      <w:bodyDiv w:val="1"/>
      <w:marLeft w:val="0"/>
      <w:marRight w:val="0"/>
      <w:marTop w:val="0"/>
      <w:marBottom w:val="0"/>
      <w:divBdr>
        <w:top w:val="none" w:sz="0" w:space="0" w:color="auto"/>
        <w:left w:val="none" w:sz="0" w:space="0" w:color="auto"/>
        <w:bottom w:val="none" w:sz="0" w:space="0" w:color="auto"/>
        <w:right w:val="none" w:sz="0" w:space="0" w:color="auto"/>
      </w:divBdr>
    </w:div>
    <w:div w:id="1711763994">
      <w:bodyDiv w:val="1"/>
      <w:marLeft w:val="0"/>
      <w:marRight w:val="0"/>
      <w:marTop w:val="0"/>
      <w:marBottom w:val="0"/>
      <w:divBdr>
        <w:top w:val="none" w:sz="0" w:space="0" w:color="auto"/>
        <w:left w:val="none" w:sz="0" w:space="0" w:color="auto"/>
        <w:bottom w:val="none" w:sz="0" w:space="0" w:color="auto"/>
        <w:right w:val="none" w:sz="0" w:space="0" w:color="auto"/>
      </w:divBdr>
    </w:div>
    <w:div w:id="1752197347">
      <w:bodyDiv w:val="1"/>
      <w:marLeft w:val="0"/>
      <w:marRight w:val="0"/>
      <w:marTop w:val="0"/>
      <w:marBottom w:val="0"/>
      <w:divBdr>
        <w:top w:val="none" w:sz="0" w:space="0" w:color="auto"/>
        <w:left w:val="none" w:sz="0" w:space="0" w:color="auto"/>
        <w:bottom w:val="none" w:sz="0" w:space="0" w:color="auto"/>
        <w:right w:val="none" w:sz="0" w:space="0" w:color="auto"/>
      </w:divBdr>
    </w:div>
    <w:div w:id="1812863047">
      <w:bodyDiv w:val="1"/>
      <w:marLeft w:val="0"/>
      <w:marRight w:val="0"/>
      <w:marTop w:val="0"/>
      <w:marBottom w:val="0"/>
      <w:divBdr>
        <w:top w:val="none" w:sz="0" w:space="0" w:color="auto"/>
        <w:left w:val="none" w:sz="0" w:space="0" w:color="auto"/>
        <w:bottom w:val="none" w:sz="0" w:space="0" w:color="auto"/>
        <w:right w:val="none" w:sz="0" w:space="0" w:color="auto"/>
      </w:divBdr>
    </w:div>
    <w:div w:id="1847284531">
      <w:bodyDiv w:val="1"/>
      <w:marLeft w:val="0"/>
      <w:marRight w:val="0"/>
      <w:marTop w:val="0"/>
      <w:marBottom w:val="0"/>
      <w:divBdr>
        <w:top w:val="none" w:sz="0" w:space="0" w:color="auto"/>
        <w:left w:val="none" w:sz="0" w:space="0" w:color="auto"/>
        <w:bottom w:val="none" w:sz="0" w:space="0" w:color="auto"/>
        <w:right w:val="none" w:sz="0" w:space="0" w:color="auto"/>
      </w:divBdr>
    </w:div>
    <w:div w:id="1865439262">
      <w:bodyDiv w:val="1"/>
      <w:marLeft w:val="0"/>
      <w:marRight w:val="0"/>
      <w:marTop w:val="0"/>
      <w:marBottom w:val="0"/>
      <w:divBdr>
        <w:top w:val="none" w:sz="0" w:space="0" w:color="auto"/>
        <w:left w:val="none" w:sz="0" w:space="0" w:color="auto"/>
        <w:bottom w:val="none" w:sz="0" w:space="0" w:color="auto"/>
        <w:right w:val="none" w:sz="0" w:space="0" w:color="auto"/>
      </w:divBdr>
    </w:div>
    <w:div w:id="1904214271">
      <w:bodyDiv w:val="1"/>
      <w:marLeft w:val="0"/>
      <w:marRight w:val="0"/>
      <w:marTop w:val="0"/>
      <w:marBottom w:val="0"/>
      <w:divBdr>
        <w:top w:val="none" w:sz="0" w:space="0" w:color="auto"/>
        <w:left w:val="none" w:sz="0" w:space="0" w:color="auto"/>
        <w:bottom w:val="none" w:sz="0" w:space="0" w:color="auto"/>
        <w:right w:val="none" w:sz="0" w:space="0" w:color="auto"/>
      </w:divBdr>
    </w:div>
    <w:div w:id="1930964812">
      <w:bodyDiv w:val="1"/>
      <w:marLeft w:val="0"/>
      <w:marRight w:val="0"/>
      <w:marTop w:val="0"/>
      <w:marBottom w:val="0"/>
      <w:divBdr>
        <w:top w:val="none" w:sz="0" w:space="0" w:color="auto"/>
        <w:left w:val="none" w:sz="0" w:space="0" w:color="auto"/>
        <w:bottom w:val="none" w:sz="0" w:space="0" w:color="auto"/>
        <w:right w:val="none" w:sz="0" w:space="0" w:color="auto"/>
      </w:divBdr>
    </w:div>
    <w:div w:id="2014911470">
      <w:bodyDiv w:val="1"/>
      <w:marLeft w:val="0"/>
      <w:marRight w:val="0"/>
      <w:marTop w:val="0"/>
      <w:marBottom w:val="0"/>
      <w:divBdr>
        <w:top w:val="none" w:sz="0" w:space="0" w:color="auto"/>
        <w:left w:val="none" w:sz="0" w:space="0" w:color="auto"/>
        <w:bottom w:val="none" w:sz="0" w:space="0" w:color="auto"/>
        <w:right w:val="none" w:sz="0" w:space="0" w:color="auto"/>
      </w:divBdr>
    </w:div>
    <w:div w:id="2016760309">
      <w:bodyDiv w:val="1"/>
      <w:marLeft w:val="0"/>
      <w:marRight w:val="0"/>
      <w:marTop w:val="0"/>
      <w:marBottom w:val="0"/>
      <w:divBdr>
        <w:top w:val="none" w:sz="0" w:space="0" w:color="auto"/>
        <w:left w:val="none" w:sz="0" w:space="0" w:color="auto"/>
        <w:bottom w:val="none" w:sz="0" w:space="0" w:color="auto"/>
        <w:right w:val="none" w:sz="0" w:space="0" w:color="auto"/>
      </w:divBdr>
    </w:div>
    <w:div w:id="2034501920">
      <w:bodyDiv w:val="1"/>
      <w:marLeft w:val="0"/>
      <w:marRight w:val="0"/>
      <w:marTop w:val="0"/>
      <w:marBottom w:val="0"/>
      <w:divBdr>
        <w:top w:val="none" w:sz="0" w:space="0" w:color="auto"/>
        <w:left w:val="none" w:sz="0" w:space="0" w:color="auto"/>
        <w:bottom w:val="none" w:sz="0" w:space="0" w:color="auto"/>
        <w:right w:val="none" w:sz="0" w:space="0" w:color="auto"/>
      </w:divBdr>
    </w:div>
    <w:div w:id="2067532935">
      <w:bodyDiv w:val="1"/>
      <w:marLeft w:val="0"/>
      <w:marRight w:val="0"/>
      <w:marTop w:val="0"/>
      <w:marBottom w:val="0"/>
      <w:divBdr>
        <w:top w:val="none" w:sz="0" w:space="0" w:color="auto"/>
        <w:left w:val="none" w:sz="0" w:space="0" w:color="auto"/>
        <w:bottom w:val="none" w:sz="0" w:space="0" w:color="auto"/>
        <w:right w:val="none" w:sz="0" w:space="0" w:color="auto"/>
      </w:divBdr>
    </w:div>
    <w:div w:id="2095471724">
      <w:bodyDiv w:val="1"/>
      <w:marLeft w:val="0"/>
      <w:marRight w:val="0"/>
      <w:marTop w:val="0"/>
      <w:marBottom w:val="0"/>
      <w:divBdr>
        <w:top w:val="none" w:sz="0" w:space="0" w:color="auto"/>
        <w:left w:val="none" w:sz="0" w:space="0" w:color="auto"/>
        <w:bottom w:val="none" w:sz="0" w:space="0" w:color="auto"/>
        <w:right w:val="none" w:sz="0" w:space="0" w:color="auto"/>
      </w:divBdr>
    </w:div>
    <w:div w:id="2105180001">
      <w:bodyDiv w:val="1"/>
      <w:marLeft w:val="0"/>
      <w:marRight w:val="0"/>
      <w:marTop w:val="0"/>
      <w:marBottom w:val="0"/>
      <w:divBdr>
        <w:top w:val="none" w:sz="0" w:space="0" w:color="auto"/>
        <w:left w:val="none" w:sz="0" w:space="0" w:color="auto"/>
        <w:bottom w:val="none" w:sz="0" w:space="0" w:color="auto"/>
        <w:right w:val="none" w:sz="0" w:space="0" w:color="auto"/>
      </w:divBdr>
      <w:divsChild>
        <w:div w:id="184178291">
          <w:marLeft w:val="360"/>
          <w:marRight w:val="0"/>
          <w:marTop w:val="200"/>
          <w:marBottom w:val="0"/>
          <w:divBdr>
            <w:top w:val="none" w:sz="0" w:space="0" w:color="auto"/>
            <w:left w:val="none" w:sz="0" w:space="0" w:color="auto"/>
            <w:bottom w:val="none" w:sz="0" w:space="0" w:color="auto"/>
            <w:right w:val="none" w:sz="0" w:space="0" w:color="auto"/>
          </w:divBdr>
        </w:div>
        <w:div w:id="511409965">
          <w:marLeft w:val="360"/>
          <w:marRight w:val="0"/>
          <w:marTop w:val="200"/>
          <w:marBottom w:val="0"/>
          <w:divBdr>
            <w:top w:val="none" w:sz="0" w:space="0" w:color="auto"/>
            <w:left w:val="none" w:sz="0" w:space="0" w:color="auto"/>
            <w:bottom w:val="none" w:sz="0" w:space="0" w:color="auto"/>
            <w:right w:val="none" w:sz="0" w:space="0" w:color="auto"/>
          </w:divBdr>
        </w:div>
        <w:div w:id="943927381">
          <w:marLeft w:val="360"/>
          <w:marRight w:val="0"/>
          <w:marTop w:val="200"/>
          <w:marBottom w:val="0"/>
          <w:divBdr>
            <w:top w:val="none" w:sz="0" w:space="0" w:color="auto"/>
            <w:left w:val="none" w:sz="0" w:space="0" w:color="auto"/>
            <w:bottom w:val="none" w:sz="0" w:space="0" w:color="auto"/>
            <w:right w:val="none" w:sz="0" w:space="0" w:color="auto"/>
          </w:divBdr>
        </w:div>
      </w:divsChild>
    </w:div>
    <w:div w:id="2106798559">
      <w:bodyDiv w:val="1"/>
      <w:marLeft w:val="0"/>
      <w:marRight w:val="0"/>
      <w:marTop w:val="0"/>
      <w:marBottom w:val="0"/>
      <w:divBdr>
        <w:top w:val="none" w:sz="0" w:space="0" w:color="auto"/>
        <w:left w:val="none" w:sz="0" w:space="0" w:color="auto"/>
        <w:bottom w:val="none" w:sz="0" w:space="0" w:color="auto"/>
        <w:right w:val="none" w:sz="0" w:space="0" w:color="auto"/>
      </w:divBdr>
    </w:div>
    <w:div w:id="2129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f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D708-7745-42B0-8C99-77A2F948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2412</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PFM update</vt:lpstr>
    </vt:vector>
  </TitlesOfParts>
  <Company>World Bank Group</Company>
  <LinksUpToDate>false</LinksUpToDate>
  <CharactersWithSpaces>17112</CharactersWithSpaces>
  <SharedDoc>false</SharedDoc>
  <HLinks>
    <vt:vector size="18" baseType="variant">
      <vt:variant>
        <vt:i4>5111900</vt:i4>
      </vt:variant>
      <vt:variant>
        <vt:i4>9</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 update</dc:title>
  <dc:subject/>
  <dc:creator>PEFA Secretariat</dc:creator>
  <cp:keywords/>
  <dc:description/>
  <cp:lastModifiedBy>Joan Marie Bartlett</cp:lastModifiedBy>
  <cp:revision>2</cp:revision>
  <cp:lastPrinted>2016-10-18T16:16:00Z</cp:lastPrinted>
  <dcterms:created xsi:type="dcterms:W3CDTF">2017-02-01T15:42:00Z</dcterms:created>
  <dcterms:modified xsi:type="dcterms:W3CDTF">2017-02-01T15:42:00Z</dcterms:modified>
</cp:coreProperties>
</file>